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9AED" w14:textId="77777777" w:rsidR="00B86571" w:rsidRDefault="00000000">
      <w:pPr>
        <w:pStyle w:val="a6"/>
        <w:tabs>
          <w:tab w:val="left" w:pos="1137"/>
          <w:tab w:val="left" w:pos="1343"/>
        </w:tabs>
        <w:spacing w:afterLines="100" w:after="312" w:line="560" w:lineRule="exact"/>
        <w:ind w:firstLineChars="200" w:firstLine="720"/>
        <w:jc w:val="both"/>
        <w:rPr>
          <w:rFonts w:ascii="Times New Roman" w:eastAsia="方正小标宋简体" w:hAnsi="Times New Roman"/>
          <w:bCs/>
          <w:sz w:val="36"/>
          <w:szCs w:val="36"/>
          <w:lang w:eastAsia="zh-CN"/>
        </w:rPr>
      </w:pPr>
      <w:bookmarkStart w:id="0" w:name="_Toc1390"/>
      <w:r>
        <w:rPr>
          <w:rFonts w:ascii="Times New Roman" w:eastAsia="方正小标宋简体" w:hAnsi="Times New Roman" w:hint="eastAsia"/>
          <w:bCs/>
          <w:sz w:val="36"/>
          <w:szCs w:val="36"/>
          <w:lang w:eastAsia="zh-CN"/>
        </w:rPr>
        <w:t>天坛医院医疗服务与保障能力提升（第三批）</w:t>
      </w:r>
    </w:p>
    <w:p w14:paraId="53F445BF" w14:textId="77777777" w:rsidR="00B86571" w:rsidRDefault="00000000">
      <w:pPr>
        <w:pStyle w:val="a6"/>
        <w:tabs>
          <w:tab w:val="left" w:pos="1137"/>
          <w:tab w:val="left" w:pos="1343"/>
        </w:tabs>
        <w:spacing w:afterLines="100" w:after="312" w:line="560" w:lineRule="exact"/>
        <w:ind w:firstLineChars="300" w:firstLine="1080"/>
        <w:jc w:val="both"/>
        <w:rPr>
          <w:rFonts w:ascii="Times New Roman" w:eastAsia="方正小标宋简体" w:hAnsi="Times New Roman"/>
          <w:bCs/>
          <w:sz w:val="36"/>
          <w:szCs w:val="36"/>
          <w:lang w:eastAsia="zh-CN"/>
        </w:rPr>
      </w:pPr>
      <w:r>
        <w:rPr>
          <w:rFonts w:ascii="Times New Roman" w:eastAsia="方正小标宋简体" w:hAnsi="Times New Roman" w:hint="eastAsia"/>
          <w:bCs/>
          <w:sz w:val="36"/>
          <w:szCs w:val="36"/>
          <w:lang w:eastAsia="zh-CN"/>
        </w:rPr>
        <w:t>—区域医疗中心补助资金</w:t>
      </w:r>
      <w:r>
        <w:rPr>
          <w:rFonts w:ascii="Times New Roman" w:eastAsia="方正小标宋简体" w:hAnsi="Times New Roman"/>
          <w:bCs/>
          <w:sz w:val="36"/>
          <w:szCs w:val="36"/>
          <w:lang w:eastAsia="zh-CN"/>
        </w:rPr>
        <w:t>绩效评价报告</w:t>
      </w:r>
      <w:bookmarkEnd w:id="0"/>
    </w:p>
    <w:p w14:paraId="5D248D72" w14:textId="77777777" w:rsidR="00B86571" w:rsidRDefault="00000000">
      <w:pPr>
        <w:pStyle w:val="1"/>
        <w:keepNext w:val="0"/>
        <w:keepLines w:val="0"/>
        <w:spacing w:before="0" w:after="0" w:line="560" w:lineRule="exact"/>
        <w:ind w:firstLineChars="200" w:firstLine="640"/>
        <w:contextualSpacing/>
        <w:textAlignment w:val="center"/>
        <w:rPr>
          <w:rFonts w:eastAsia="黑体"/>
          <w:b w:val="0"/>
          <w:kern w:val="0"/>
          <w:sz w:val="32"/>
          <w:szCs w:val="32"/>
          <w:lang w:bidi="en-US"/>
        </w:rPr>
      </w:pPr>
      <w:bookmarkStart w:id="1" w:name="_Toc11610"/>
      <w:bookmarkStart w:id="2" w:name="_Toc4647"/>
      <w:r>
        <w:rPr>
          <w:rFonts w:eastAsia="黑体"/>
          <w:b w:val="0"/>
          <w:kern w:val="0"/>
          <w:sz w:val="32"/>
          <w:szCs w:val="32"/>
          <w:lang w:bidi="en-US"/>
        </w:rPr>
        <w:t>一、基本情况</w:t>
      </w:r>
      <w:bookmarkEnd w:id="1"/>
      <w:bookmarkEnd w:id="2"/>
    </w:p>
    <w:p w14:paraId="5E533F2E" w14:textId="77777777" w:rsidR="00B86571" w:rsidRDefault="00000000">
      <w:pPr>
        <w:spacing w:line="560" w:lineRule="exact"/>
        <w:ind w:firstLineChars="200" w:firstLine="640"/>
        <w:textAlignment w:val="center"/>
        <w:outlineLvl w:val="1"/>
        <w:rPr>
          <w:rFonts w:eastAsia="楷体"/>
          <w:sz w:val="32"/>
          <w:szCs w:val="32"/>
        </w:rPr>
      </w:pPr>
      <w:bookmarkStart w:id="3" w:name="_Toc10317"/>
      <w:bookmarkStart w:id="4" w:name="_Toc21297"/>
      <w:r>
        <w:rPr>
          <w:rFonts w:eastAsia="楷体"/>
          <w:sz w:val="32"/>
          <w:szCs w:val="32"/>
        </w:rPr>
        <w:t>（一）项目概况</w:t>
      </w:r>
      <w:bookmarkEnd w:id="3"/>
      <w:bookmarkEnd w:id="4"/>
    </w:p>
    <w:p w14:paraId="3AABAFB6" w14:textId="77777777" w:rsidR="00B86571" w:rsidRDefault="00000000">
      <w:pPr>
        <w:spacing w:line="560" w:lineRule="exact"/>
        <w:ind w:firstLineChars="200" w:firstLine="640"/>
        <w:textAlignment w:val="center"/>
        <w:rPr>
          <w:rFonts w:eastAsia="仿宋_GB2312"/>
          <w:color w:val="000000"/>
          <w:kern w:val="0"/>
          <w:sz w:val="32"/>
          <w:szCs w:val="32"/>
        </w:rPr>
      </w:pPr>
      <w:r>
        <w:rPr>
          <w:rFonts w:eastAsia="仿宋_GB2312" w:hint="eastAsia"/>
          <w:color w:val="000000"/>
          <w:kern w:val="0"/>
          <w:sz w:val="32"/>
          <w:szCs w:val="32"/>
        </w:rPr>
        <w:t>2019</w:t>
      </w:r>
      <w:r>
        <w:rPr>
          <w:rFonts w:eastAsia="仿宋_GB2312" w:hint="eastAsia"/>
          <w:color w:val="000000"/>
          <w:kern w:val="0"/>
          <w:sz w:val="32"/>
          <w:szCs w:val="32"/>
        </w:rPr>
        <w:t>年</w:t>
      </w:r>
      <w:r>
        <w:rPr>
          <w:rFonts w:eastAsia="仿宋_GB2312" w:hint="eastAsia"/>
          <w:color w:val="000000"/>
          <w:kern w:val="0"/>
          <w:sz w:val="32"/>
          <w:szCs w:val="32"/>
        </w:rPr>
        <w:t>10</w:t>
      </w:r>
      <w:r>
        <w:rPr>
          <w:rFonts w:eastAsia="仿宋_GB2312" w:hint="eastAsia"/>
          <w:color w:val="000000"/>
          <w:kern w:val="0"/>
          <w:sz w:val="32"/>
          <w:szCs w:val="32"/>
        </w:rPr>
        <w:t>月，国家发展改革委、国家卫生健康委联合启动了区域医疗中心试点建设项目，在京、沪等医疗资源富集地区，依托高水平医院作为输出医院，在患者流出多、医疗资源相对薄弱的河北、河南、云南等</w:t>
      </w:r>
      <w:r>
        <w:rPr>
          <w:rFonts w:eastAsia="仿宋_GB2312" w:hint="eastAsia"/>
          <w:color w:val="000000"/>
          <w:kern w:val="0"/>
          <w:sz w:val="32"/>
          <w:szCs w:val="32"/>
        </w:rPr>
        <w:t>8</w:t>
      </w:r>
      <w:r>
        <w:rPr>
          <w:rFonts w:eastAsia="仿宋_GB2312" w:hint="eastAsia"/>
          <w:color w:val="000000"/>
          <w:kern w:val="0"/>
          <w:sz w:val="32"/>
          <w:szCs w:val="32"/>
        </w:rPr>
        <w:t>个省份，针对肿瘤、神经疾病、心血管病等</w:t>
      </w:r>
      <w:r>
        <w:rPr>
          <w:rFonts w:eastAsia="仿宋_GB2312" w:hint="eastAsia"/>
          <w:color w:val="000000"/>
          <w:kern w:val="0"/>
          <w:sz w:val="32"/>
          <w:szCs w:val="32"/>
        </w:rPr>
        <w:t>6</w:t>
      </w:r>
      <w:r>
        <w:rPr>
          <w:rFonts w:eastAsia="仿宋_GB2312" w:hint="eastAsia"/>
          <w:color w:val="000000"/>
          <w:kern w:val="0"/>
          <w:sz w:val="32"/>
          <w:szCs w:val="32"/>
        </w:rPr>
        <w:t>个重大疾病类别，通过建设分中心、分支机构等方式，建设区域医疗中心，提升当地的医疗服务保障水平。</w:t>
      </w:r>
    </w:p>
    <w:p w14:paraId="6780B773" w14:textId="77777777" w:rsidR="00B86571" w:rsidRDefault="00000000">
      <w:pPr>
        <w:spacing w:line="560" w:lineRule="exact"/>
        <w:ind w:firstLineChars="200" w:firstLine="640"/>
        <w:textAlignment w:val="center"/>
        <w:rPr>
          <w:rFonts w:eastAsia="仿宋_GB2312"/>
          <w:color w:val="000000"/>
          <w:kern w:val="0"/>
          <w:sz w:val="32"/>
          <w:szCs w:val="32"/>
        </w:rPr>
      </w:pPr>
      <w:r>
        <w:rPr>
          <w:rFonts w:eastAsia="仿宋_GB2312" w:hint="eastAsia"/>
          <w:color w:val="000000"/>
          <w:kern w:val="0"/>
          <w:sz w:val="32"/>
          <w:szCs w:val="32"/>
        </w:rPr>
        <w:t>根据《关于第二批区域医疗中心试点项目有关事项的通知》（发改办社会〔</w:t>
      </w:r>
      <w:r>
        <w:rPr>
          <w:rFonts w:eastAsia="仿宋_GB2312" w:hint="eastAsia"/>
          <w:color w:val="000000"/>
          <w:kern w:val="0"/>
          <w:sz w:val="32"/>
          <w:szCs w:val="32"/>
        </w:rPr>
        <w:t>2021</w:t>
      </w:r>
      <w:r>
        <w:rPr>
          <w:rFonts w:eastAsia="仿宋_GB2312" w:hint="eastAsia"/>
          <w:color w:val="000000"/>
          <w:kern w:val="0"/>
          <w:sz w:val="32"/>
          <w:szCs w:val="32"/>
        </w:rPr>
        <w:t>〕</w:t>
      </w:r>
      <w:r>
        <w:rPr>
          <w:rFonts w:eastAsia="仿宋_GB2312" w:hint="eastAsia"/>
          <w:color w:val="000000"/>
          <w:kern w:val="0"/>
          <w:sz w:val="32"/>
          <w:szCs w:val="32"/>
        </w:rPr>
        <w:t>484</w:t>
      </w:r>
      <w:r>
        <w:rPr>
          <w:rFonts w:eastAsia="仿宋_GB2312" w:hint="eastAsia"/>
          <w:color w:val="000000"/>
          <w:kern w:val="0"/>
          <w:sz w:val="32"/>
          <w:szCs w:val="32"/>
        </w:rPr>
        <w:t>号）中关于“首都医科大学附属北京天坛医院河南医院建设方案要点”的相关要求，首都医科大学附属北京天坛医院河南医院项目（以下简称“天坛医院河南医院”），以郑州大学第一附属医院（以下简称“郑大一附院”）为当地依托医院，负责天坛医院河南医院的建设；以首都医科大学附属北京天坛医院（以下简称“北京天坛医院”）为输出医院，负责天坛医院河南医院的管理和运营。预计利用</w:t>
      </w:r>
      <w:r>
        <w:rPr>
          <w:rFonts w:eastAsia="仿宋_GB2312" w:hint="eastAsia"/>
          <w:color w:val="000000"/>
          <w:kern w:val="0"/>
          <w:sz w:val="32"/>
          <w:szCs w:val="32"/>
        </w:rPr>
        <w:t>5</w:t>
      </w:r>
      <w:r>
        <w:rPr>
          <w:rFonts w:eastAsia="仿宋_GB2312" w:hint="eastAsia"/>
          <w:color w:val="000000"/>
          <w:kern w:val="0"/>
          <w:sz w:val="32"/>
          <w:szCs w:val="32"/>
        </w:rPr>
        <w:t>年时间，建成立足河南、服务中原、辐射华中区域的国家神经疾病区域医疗中心。</w:t>
      </w:r>
      <w:r>
        <w:rPr>
          <w:rFonts w:eastAsia="仿宋_GB2312" w:hint="eastAsia"/>
          <w:color w:val="000000"/>
          <w:kern w:val="0"/>
          <w:sz w:val="32"/>
          <w:szCs w:val="32"/>
        </w:rPr>
        <w:t>2021</w:t>
      </w:r>
      <w:r>
        <w:rPr>
          <w:rFonts w:eastAsia="仿宋_GB2312" w:hint="eastAsia"/>
          <w:color w:val="000000"/>
          <w:kern w:val="0"/>
          <w:sz w:val="32"/>
          <w:szCs w:val="32"/>
        </w:rPr>
        <w:t>年</w:t>
      </w:r>
      <w:r>
        <w:rPr>
          <w:rFonts w:eastAsia="仿宋_GB2312" w:hint="eastAsia"/>
          <w:color w:val="000000"/>
          <w:kern w:val="0"/>
          <w:sz w:val="32"/>
          <w:szCs w:val="32"/>
        </w:rPr>
        <w:t>12</w:t>
      </w:r>
      <w:r>
        <w:rPr>
          <w:rFonts w:eastAsia="仿宋_GB2312" w:hint="eastAsia"/>
          <w:color w:val="000000"/>
          <w:kern w:val="0"/>
          <w:sz w:val="32"/>
          <w:szCs w:val="32"/>
        </w:rPr>
        <w:t>月，中央下达的转移支付医疗服务与保障能力提升（第三批）—区域医疗中心建设补助资金</w:t>
      </w:r>
      <w:r>
        <w:rPr>
          <w:rFonts w:eastAsia="仿宋_GB2312" w:hint="eastAsia"/>
          <w:color w:val="000000"/>
          <w:kern w:val="0"/>
          <w:sz w:val="32"/>
          <w:szCs w:val="32"/>
        </w:rPr>
        <w:t>2,000</w:t>
      </w:r>
      <w:r>
        <w:rPr>
          <w:rFonts w:eastAsia="仿宋_GB2312" w:hint="eastAsia"/>
          <w:color w:val="000000"/>
          <w:kern w:val="0"/>
          <w:sz w:val="32"/>
          <w:szCs w:val="32"/>
        </w:rPr>
        <w:t>万元，用于补助北京天</w:t>
      </w:r>
      <w:r>
        <w:rPr>
          <w:rFonts w:eastAsia="仿宋_GB2312" w:hint="eastAsia"/>
          <w:color w:val="000000"/>
          <w:kern w:val="0"/>
          <w:sz w:val="32"/>
          <w:szCs w:val="32"/>
        </w:rPr>
        <w:lastRenderedPageBreak/>
        <w:t>坛医院，支持其开展天坛医院河南医院建设。</w:t>
      </w:r>
    </w:p>
    <w:p w14:paraId="500AAAEA" w14:textId="77777777" w:rsidR="00B86571" w:rsidRDefault="00000000">
      <w:pPr>
        <w:spacing w:line="560" w:lineRule="exact"/>
        <w:ind w:firstLineChars="200" w:firstLine="640"/>
        <w:textAlignment w:val="center"/>
        <w:outlineLvl w:val="1"/>
        <w:rPr>
          <w:rFonts w:eastAsia="楷体"/>
          <w:sz w:val="32"/>
          <w:szCs w:val="32"/>
        </w:rPr>
      </w:pPr>
      <w:bookmarkStart w:id="5" w:name="_Toc24575"/>
      <w:bookmarkStart w:id="6" w:name="_Toc15585"/>
      <w:r>
        <w:rPr>
          <w:rFonts w:eastAsia="楷体"/>
          <w:sz w:val="32"/>
          <w:szCs w:val="32"/>
        </w:rPr>
        <w:t>（二）项目绩效目标</w:t>
      </w:r>
      <w:bookmarkEnd w:id="5"/>
      <w:bookmarkEnd w:id="6"/>
    </w:p>
    <w:p w14:paraId="444BC1AD"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项目总体目标</w:t>
      </w:r>
    </w:p>
    <w:p w14:paraId="2951EE8E" w14:textId="77777777" w:rsidR="00B86571" w:rsidRDefault="00000000">
      <w:pPr>
        <w:spacing w:line="560" w:lineRule="exact"/>
        <w:ind w:firstLineChars="200" w:firstLine="640"/>
        <w:textAlignment w:val="center"/>
        <w:rPr>
          <w:rFonts w:eastAsia="仿宋_GB2312"/>
          <w:color w:val="000000"/>
          <w:kern w:val="0"/>
          <w:sz w:val="32"/>
          <w:szCs w:val="32"/>
        </w:rPr>
      </w:pPr>
      <w:r>
        <w:rPr>
          <w:rFonts w:eastAsia="仿宋_GB2312" w:hint="eastAsia"/>
          <w:color w:val="000000"/>
          <w:kern w:val="0"/>
          <w:sz w:val="32"/>
          <w:szCs w:val="32"/>
        </w:rPr>
        <w:t>2021</w:t>
      </w:r>
      <w:r>
        <w:rPr>
          <w:rFonts w:eastAsia="仿宋_GB2312" w:hint="eastAsia"/>
          <w:color w:val="000000"/>
          <w:kern w:val="0"/>
          <w:sz w:val="32"/>
          <w:szCs w:val="32"/>
        </w:rPr>
        <w:t>年，中央财政补助北京天坛医院</w:t>
      </w:r>
      <w:r>
        <w:rPr>
          <w:rFonts w:eastAsia="仿宋_GB2312" w:hint="eastAsia"/>
          <w:color w:val="000000"/>
          <w:kern w:val="0"/>
          <w:sz w:val="32"/>
          <w:szCs w:val="32"/>
        </w:rPr>
        <w:t>2,000</w:t>
      </w:r>
      <w:r>
        <w:rPr>
          <w:rFonts w:eastAsia="仿宋_GB2312" w:hint="eastAsia"/>
          <w:color w:val="000000"/>
          <w:kern w:val="0"/>
          <w:sz w:val="32"/>
          <w:szCs w:val="32"/>
        </w:rPr>
        <w:t>万元，支持其开展天坛医院河南医院建设。北京天坛医院将继续加强人才储备，为天坛医院河南医院开展人才培养培训工作，推广适宜技术，提升输入医院医疗水平和管理水平。</w:t>
      </w:r>
    </w:p>
    <w:p w14:paraId="473975DB" w14:textId="77777777" w:rsidR="00B86571" w:rsidRDefault="00000000">
      <w:pPr>
        <w:numPr>
          <w:ilvl w:val="0"/>
          <w:numId w:val="1"/>
        </w:num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项目绩效指标</w:t>
      </w:r>
    </w:p>
    <w:p w14:paraId="026B3C36" w14:textId="77777777" w:rsidR="00B86571" w:rsidRDefault="00000000">
      <w:pPr>
        <w:pStyle w:val="a0"/>
        <w:spacing w:line="560" w:lineRule="exact"/>
        <w:ind w:firstLineChars="200" w:firstLine="640"/>
        <w:textAlignment w:val="center"/>
        <w:rPr>
          <w:rFonts w:eastAsia="仿宋_GB2312"/>
          <w:color w:val="000000"/>
          <w:kern w:val="0"/>
          <w:sz w:val="32"/>
          <w:szCs w:val="32"/>
        </w:rPr>
      </w:pPr>
      <w:r>
        <w:rPr>
          <w:rFonts w:eastAsia="仿宋_GB2312" w:hint="eastAsia"/>
          <w:color w:val="000000"/>
          <w:kern w:val="0"/>
          <w:sz w:val="32"/>
          <w:szCs w:val="32"/>
        </w:rPr>
        <w:t>北京天坛医院</w:t>
      </w:r>
      <w:r>
        <w:rPr>
          <w:rFonts w:eastAsia="仿宋_GB2312"/>
          <w:color w:val="000000"/>
          <w:kern w:val="0"/>
          <w:sz w:val="32"/>
          <w:szCs w:val="32"/>
        </w:rPr>
        <w:t>根据项目总体绩效目标</w:t>
      </w:r>
      <w:r>
        <w:rPr>
          <w:rFonts w:eastAsia="仿宋_GB2312" w:hint="eastAsia"/>
          <w:color w:val="000000"/>
          <w:kern w:val="0"/>
          <w:sz w:val="32"/>
          <w:szCs w:val="32"/>
        </w:rPr>
        <w:t>和中央对地方转移支付区域绩效目标表</w:t>
      </w:r>
      <w:r>
        <w:rPr>
          <w:rFonts w:eastAsia="仿宋_GB2312"/>
          <w:color w:val="000000"/>
          <w:kern w:val="0"/>
          <w:sz w:val="32"/>
          <w:szCs w:val="32"/>
        </w:rPr>
        <w:t>设置了产出指标</w:t>
      </w:r>
      <w:r>
        <w:rPr>
          <w:rFonts w:eastAsia="仿宋_GB2312" w:hint="eastAsia"/>
          <w:color w:val="000000"/>
          <w:kern w:val="0"/>
          <w:sz w:val="32"/>
          <w:szCs w:val="32"/>
        </w:rPr>
        <w:t>、</w:t>
      </w:r>
      <w:r>
        <w:rPr>
          <w:rFonts w:eastAsia="仿宋_GB2312"/>
          <w:color w:val="000000"/>
          <w:kern w:val="0"/>
          <w:sz w:val="32"/>
          <w:szCs w:val="32"/>
        </w:rPr>
        <w:t>效益指标</w:t>
      </w:r>
      <w:r>
        <w:rPr>
          <w:rFonts w:eastAsia="仿宋_GB2312" w:hint="eastAsia"/>
          <w:color w:val="000000"/>
          <w:kern w:val="0"/>
          <w:sz w:val="32"/>
          <w:szCs w:val="32"/>
        </w:rPr>
        <w:t>和满意度指标</w:t>
      </w:r>
      <w:r>
        <w:rPr>
          <w:rFonts w:eastAsia="仿宋_GB2312"/>
          <w:color w:val="000000"/>
          <w:kern w:val="0"/>
          <w:sz w:val="32"/>
          <w:szCs w:val="32"/>
        </w:rPr>
        <w:t>，具体</w:t>
      </w:r>
      <w:r>
        <w:rPr>
          <w:rFonts w:eastAsia="仿宋_GB2312" w:hint="eastAsia"/>
          <w:color w:val="000000"/>
          <w:kern w:val="0"/>
          <w:sz w:val="32"/>
          <w:szCs w:val="32"/>
        </w:rPr>
        <w:t>详见下表</w:t>
      </w:r>
      <w:r>
        <w:rPr>
          <w:rFonts w:eastAsia="仿宋_GB2312"/>
          <w:color w:val="000000"/>
          <w:kern w:val="0"/>
          <w:sz w:val="32"/>
          <w:szCs w:val="32"/>
        </w:rPr>
        <w:t>。</w:t>
      </w:r>
    </w:p>
    <w:p w14:paraId="66F19B70" w14:textId="77777777" w:rsidR="00B86571" w:rsidRDefault="00000000">
      <w:pPr>
        <w:pStyle w:val="a0"/>
        <w:spacing w:afterLines="50" w:after="156" w:line="560" w:lineRule="exact"/>
        <w:jc w:val="center"/>
        <w:textAlignment w:val="center"/>
        <w:rPr>
          <w:rFonts w:eastAsia="黑体"/>
        </w:rPr>
      </w:pPr>
      <w:r>
        <w:rPr>
          <w:rFonts w:eastAsia="黑体"/>
          <w:kern w:val="44"/>
          <w:sz w:val="24"/>
        </w:rPr>
        <w:t>表</w:t>
      </w:r>
      <w:r>
        <w:rPr>
          <w:rFonts w:eastAsia="黑体" w:hint="eastAsia"/>
          <w:kern w:val="44"/>
          <w:sz w:val="24"/>
        </w:rPr>
        <w:t>1</w:t>
      </w:r>
      <w:r>
        <w:rPr>
          <w:rFonts w:eastAsia="黑体"/>
          <w:kern w:val="44"/>
          <w:sz w:val="24"/>
        </w:rPr>
        <w:t xml:space="preserve"> </w:t>
      </w:r>
      <w:r>
        <w:rPr>
          <w:rFonts w:eastAsia="黑体" w:hint="eastAsia"/>
          <w:kern w:val="44"/>
          <w:sz w:val="24"/>
        </w:rPr>
        <w:t>天坛医院医疗服务与保障能力提升（第三批）—区域医疗中心补助资金</w:t>
      </w:r>
      <w:r>
        <w:rPr>
          <w:rFonts w:eastAsia="黑体"/>
          <w:kern w:val="44"/>
          <w:sz w:val="24"/>
        </w:rPr>
        <w:t>绩效指标</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528"/>
        <w:gridCol w:w="4787"/>
        <w:gridCol w:w="1692"/>
      </w:tblGrid>
      <w:tr w:rsidR="00B86571" w14:paraId="3BF9CD0D" w14:textId="77777777">
        <w:trPr>
          <w:trHeight w:hRule="exact" w:val="340"/>
          <w:tblHeader/>
          <w:jc w:val="center"/>
        </w:trPr>
        <w:tc>
          <w:tcPr>
            <w:tcW w:w="1104" w:type="dxa"/>
            <w:vMerge w:val="restart"/>
            <w:shd w:val="clear" w:color="auto" w:fill="D8D8D8" w:themeFill="background1" w:themeFillShade="D8"/>
            <w:vAlign w:val="center"/>
          </w:tcPr>
          <w:p w14:paraId="5DE4FDE4" w14:textId="77777777" w:rsidR="00B86571" w:rsidRDefault="00000000">
            <w:pPr>
              <w:spacing w:line="240" w:lineRule="exact"/>
              <w:jc w:val="center"/>
              <w:textAlignment w:val="center"/>
              <w:rPr>
                <w:b/>
                <w:bCs/>
                <w:color w:val="000000"/>
                <w:kern w:val="0"/>
                <w:szCs w:val="21"/>
              </w:rPr>
            </w:pPr>
            <w:bookmarkStart w:id="7" w:name="_Toc4630"/>
            <w:r>
              <w:rPr>
                <w:rFonts w:hint="eastAsia"/>
                <w:b/>
                <w:bCs/>
                <w:color w:val="000000"/>
                <w:kern w:val="0"/>
                <w:szCs w:val="21"/>
              </w:rPr>
              <w:t>一级指标</w:t>
            </w:r>
          </w:p>
        </w:tc>
        <w:tc>
          <w:tcPr>
            <w:tcW w:w="1528" w:type="dxa"/>
            <w:vMerge w:val="restart"/>
            <w:shd w:val="clear" w:color="auto" w:fill="D8D8D8" w:themeFill="background1" w:themeFillShade="D8"/>
            <w:vAlign w:val="center"/>
          </w:tcPr>
          <w:p w14:paraId="34ECFB61" w14:textId="77777777" w:rsidR="00B86571" w:rsidRDefault="00000000">
            <w:pPr>
              <w:spacing w:line="240" w:lineRule="exact"/>
              <w:jc w:val="center"/>
              <w:textAlignment w:val="center"/>
              <w:rPr>
                <w:b/>
                <w:bCs/>
                <w:color w:val="000000"/>
                <w:kern w:val="0"/>
                <w:szCs w:val="21"/>
              </w:rPr>
            </w:pPr>
            <w:r>
              <w:rPr>
                <w:rFonts w:hint="eastAsia"/>
                <w:b/>
                <w:bCs/>
                <w:color w:val="000000"/>
                <w:kern w:val="0"/>
                <w:szCs w:val="21"/>
              </w:rPr>
              <w:t>二级指标</w:t>
            </w:r>
          </w:p>
        </w:tc>
        <w:tc>
          <w:tcPr>
            <w:tcW w:w="4787" w:type="dxa"/>
            <w:vMerge w:val="restart"/>
            <w:shd w:val="clear" w:color="auto" w:fill="D8D8D8" w:themeFill="background1" w:themeFillShade="D8"/>
            <w:vAlign w:val="center"/>
          </w:tcPr>
          <w:p w14:paraId="02749321" w14:textId="77777777" w:rsidR="00B86571" w:rsidRDefault="00000000">
            <w:pPr>
              <w:spacing w:line="240" w:lineRule="exact"/>
              <w:jc w:val="center"/>
              <w:textAlignment w:val="center"/>
              <w:rPr>
                <w:b/>
                <w:bCs/>
                <w:color w:val="000000"/>
                <w:kern w:val="0"/>
                <w:szCs w:val="21"/>
              </w:rPr>
            </w:pPr>
            <w:r>
              <w:rPr>
                <w:rFonts w:hint="eastAsia"/>
                <w:b/>
                <w:bCs/>
                <w:color w:val="000000"/>
                <w:kern w:val="0"/>
                <w:szCs w:val="21"/>
              </w:rPr>
              <w:t>三级指标</w:t>
            </w:r>
          </w:p>
        </w:tc>
        <w:tc>
          <w:tcPr>
            <w:tcW w:w="1692" w:type="dxa"/>
            <w:vMerge w:val="restart"/>
            <w:shd w:val="clear" w:color="auto" w:fill="D8D8D8" w:themeFill="background1" w:themeFillShade="D8"/>
            <w:vAlign w:val="center"/>
          </w:tcPr>
          <w:p w14:paraId="4D3D1920" w14:textId="77777777" w:rsidR="00B86571" w:rsidRDefault="00000000">
            <w:pPr>
              <w:spacing w:line="240" w:lineRule="exact"/>
              <w:jc w:val="center"/>
              <w:textAlignment w:val="center"/>
              <w:rPr>
                <w:b/>
                <w:bCs/>
                <w:color w:val="000000"/>
                <w:kern w:val="0"/>
                <w:szCs w:val="21"/>
              </w:rPr>
            </w:pPr>
            <w:r>
              <w:rPr>
                <w:rFonts w:hint="eastAsia"/>
                <w:b/>
                <w:bCs/>
                <w:color w:val="000000"/>
                <w:kern w:val="0"/>
                <w:szCs w:val="21"/>
              </w:rPr>
              <w:t>年度指标值</w:t>
            </w:r>
          </w:p>
        </w:tc>
      </w:tr>
      <w:tr w:rsidR="00B86571" w14:paraId="52521040" w14:textId="77777777">
        <w:trPr>
          <w:trHeight w:hRule="exact" w:val="312"/>
          <w:tblHeader/>
          <w:jc w:val="center"/>
        </w:trPr>
        <w:tc>
          <w:tcPr>
            <w:tcW w:w="1104" w:type="dxa"/>
            <w:vMerge/>
            <w:shd w:val="clear" w:color="auto" w:fill="D8D8D8" w:themeFill="background1" w:themeFillShade="D8"/>
            <w:vAlign w:val="center"/>
          </w:tcPr>
          <w:p w14:paraId="793C2FD4" w14:textId="77777777" w:rsidR="00B86571" w:rsidRDefault="00B86571">
            <w:pPr>
              <w:spacing w:line="240" w:lineRule="exact"/>
              <w:jc w:val="center"/>
              <w:rPr>
                <w:rFonts w:ascii="宋体" w:hAnsi="宋体" w:cs="宋体"/>
                <w:b/>
                <w:bCs/>
                <w:color w:val="000000"/>
                <w:sz w:val="20"/>
                <w:szCs w:val="20"/>
              </w:rPr>
            </w:pPr>
          </w:p>
        </w:tc>
        <w:tc>
          <w:tcPr>
            <w:tcW w:w="1528" w:type="dxa"/>
            <w:vMerge/>
            <w:shd w:val="clear" w:color="auto" w:fill="D8D8D8" w:themeFill="background1" w:themeFillShade="D8"/>
            <w:vAlign w:val="center"/>
          </w:tcPr>
          <w:p w14:paraId="1503DC7E" w14:textId="77777777" w:rsidR="00B86571" w:rsidRDefault="00B86571">
            <w:pPr>
              <w:spacing w:line="240" w:lineRule="exact"/>
              <w:jc w:val="center"/>
              <w:rPr>
                <w:rFonts w:ascii="宋体" w:hAnsi="宋体" w:cs="宋体"/>
                <w:b/>
                <w:bCs/>
                <w:color w:val="000000"/>
                <w:sz w:val="20"/>
                <w:szCs w:val="20"/>
              </w:rPr>
            </w:pPr>
          </w:p>
        </w:tc>
        <w:tc>
          <w:tcPr>
            <w:tcW w:w="4787" w:type="dxa"/>
            <w:vMerge/>
            <w:shd w:val="clear" w:color="auto" w:fill="D8D8D8" w:themeFill="background1" w:themeFillShade="D8"/>
            <w:vAlign w:val="center"/>
          </w:tcPr>
          <w:p w14:paraId="502E86A5" w14:textId="77777777" w:rsidR="00B86571" w:rsidRDefault="00B86571">
            <w:pPr>
              <w:spacing w:line="240" w:lineRule="exact"/>
              <w:jc w:val="center"/>
              <w:rPr>
                <w:rFonts w:ascii="宋体" w:hAnsi="宋体" w:cs="宋体"/>
                <w:b/>
                <w:bCs/>
                <w:color w:val="000000"/>
                <w:sz w:val="20"/>
                <w:szCs w:val="20"/>
              </w:rPr>
            </w:pPr>
          </w:p>
        </w:tc>
        <w:tc>
          <w:tcPr>
            <w:tcW w:w="1692" w:type="dxa"/>
            <w:vMerge/>
            <w:shd w:val="clear" w:color="auto" w:fill="D8D8D8" w:themeFill="background1" w:themeFillShade="D8"/>
            <w:vAlign w:val="center"/>
          </w:tcPr>
          <w:p w14:paraId="23F03C9D" w14:textId="77777777" w:rsidR="00B86571" w:rsidRDefault="00B86571">
            <w:pPr>
              <w:spacing w:line="240" w:lineRule="exact"/>
              <w:jc w:val="center"/>
              <w:rPr>
                <w:rFonts w:ascii="宋体" w:hAnsi="宋体" w:cs="宋体"/>
                <w:b/>
                <w:bCs/>
                <w:color w:val="000000"/>
                <w:sz w:val="20"/>
                <w:szCs w:val="20"/>
              </w:rPr>
            </w:pPr>
          </w:p>
        </w:tc>
      </w:tr>
      <w:tr w:rsidR="00B86571" w14:paraId="4411E9DC" w14:textId="77777777">
        <w:trPr>
          <w:trHeight w:hRule="exact" w:val="510"/>
          <w:jc w:val="center"/>
        </w:trPr>
        <w:tc>
          <w:tcPr>
            <w:tcW w:w="1104" w:type="dxa"/>
            <w:vMerge w:val="restart"/>
            <w:shd w:val="clear" w:color="auto" w:fill="auto"/>
            <w:vAlign w:val="center"/>
          </w:tcPr>
          <w:p w14:paraId="31465073"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产出指标</w:t>
            </w:r>
          </w:p>
        </w:tc>
        <w:tc>
          <w:tcPr>
            <w:tcW w:w="1528" w:type="dxa"/>
            <w:vMerge w:val="restart"/>
            <w:shd w:val="clear" w:color="auto" w:fill="auto"/>
            <w:vAlign w:val="center"/>
          </w:tcPr>
          <w:p w14:paraId="71892683"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数量指标</w:t>
            </w:r>
          </w:p>
        </w:tc>
        <w:tc>
          <w:tcPr>
            <w:tcW w:w="4787" w:type="dxa"/>
            <w:shd w:val="clear" w:color="auto" w:fill="auto"/>
            <w:vAlign w:val="center"/>
          </w:tcPr>
          <w:p w14:paraId="35976E85"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完成医、护、技、管理等人才储备培养</w:t>
            </w:r>
          </w:p>
        </w:tc>
        <w:tc>
          <w:tcPr>
            <w:tcW w:w="1692" w:type="dxa"/>
            <w:shd w:val="clear" w:color="auto" w:fill="auto"/>
            <w:vAlign w:val="center"/>
          </w:tcPr>
          <w:p w14:paraId="0D77B2C5"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≥20人次</w:t>
            </w:r>
          </w:p>
        </w:tc>
      </w:tr>
      <w:tr w:rsidR="00B86571" w14:paraId="5D7B02D3" w14:textId="77777777">
        <w:trPr>
          <w:trHeight w:hRule="exact" w:val="780"/>
          <w:jc w:val="center"/>
        </w:trPr>
        <w:tc>
          <w:tcPr>
            <w:tcW w:w="1104" w:type="dxa"/>
            <w:vMerge/>
            <w:shd w:val="clear" w:color="auto" w:fill="auto"/>
            <w:vAlign w:val="center"/>
          </w:tcPr>
          <w:p w14:paraId="7E4582E5"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4BBB938F"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7618C544"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派驻医、护、技、管理等中级及以上职称人员赴输入医院开展专业指导、人员培训、科技创新、引领医疗科研、教学等工作</w:t>
            </w:r>
          </w:p>
        </w:tc>
        <w:tc>
          <w:tcPr>
            <w:tcW w:w="1692" w:type="dxa"/>
            <w:shd w:val="clear" w:color="auto" w:fill="auto"/>
            <w:vAlign w:val="center"/>
          </w:tcPr>
          <w:p w14:paraId="2F54A642"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≥100人次</w:t>
            </w:r>
          </w:p>
        </w:tc>
      </w:tr>
      <w:tr w:rsidR="00B86571" w14:paraId="6E1204B8" w14:textId="77777777">
        <w:trPr>
          <w:trHeight w:hRule="exact" w:val="510"/>
          <w:jc w:val="center"/>
        </w:trPr>
        <w:tc>
          <w:tcPr>
            <w:tcW w:w="1104" w:type="dxa"/>
            <w:vMerge/>
            <w:shd w:val="clear" w:color="auto" w:fill="auto"/>
            <w:vAlign w:val="center"/>
          </w:tcPr>
          <w:p w14:paraId="5328321E"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48177E17"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484D265A"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为输入医院培养专业技术人才</w:t>
            </w:r>
          </w:p>
        </w:tc>
        <w:tc>
          <w:tcPr>
            <w:tcW w:w="1692" w:type="dxa"/>
            <w:shd w:val="clear" w:color="auto" w:fill="auto"/>
            <w:vAlign w:val="center"/>
          </w:tcPr>
          <w:p w14:paraId="52C5170C"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≥15人次</w:t>
            </w:r>
          </w:p>
        </w:tc>
      </w:tr>
      <w:tr w:rsidR="00B86571" w14:paraId="0EA51E07" w14:textId="77777777">
        <w:trPr>
          <w:trHeight w:hRule="exact" w:val="510"/>
          <w:jc w:val="center"/>
        </w:trPr>
        <w:tc>
          <w:tcPr>
            <w:tcW w:w="1104" w:type="dxa"/>
            <w:vMerge/>
            <w:shd w:val="clear" w:color="auto" w:fill="auto"/>
            <w:vAlign w:val="center"/>
          </w:tcPr>
          <w:p w14:paraId="444BED1F"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2FD495DB"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0985B300"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在输入医院开展临床新技术</w:t>
            </w:r>
          </w:p>
        </w:tc>
        <w:tc>
          <w:tcPr>
            <w:tcW w:w="1692" w:type="dxa"/>
            <w:shd w:val="clear" w:color="auto" w:fill="auto"/>
            <w:vAlign w:val="center"/>
          </w:tcPr>
          <w:p w14:paraId="6930C291"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≥6项</w:t>
            </w:r>
          </w:p>
        </w:tc>
      </w:tr>
      <w:tr w:rsidR="00B86571" w14:paraId="0F3B6ED8" w14:textId="77777777">
        <w:trPr>
          <w:trHeight w:hRule="exact" w:val="510"/>
          <w:jc w:val="center"/>
        </w:trPr>
        <w:tc>
          <w:tcPr>
            <w:tcW w:w="1104" w:type="dxa"/>
            <w:vMerge/>
            <w:shd w:val="clear" w:color="auto" w:fill="auto"/>
            <w:vAlign w:val="center"/>
          </w:tcPr>
          <w:p w14:paraId="6F7DB4DA"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449005E2"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643E7E26"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在输入医院开展临床新技术</w:t>
            </w:r>
          </w:p>
        </w:tc>
        <w:tc>
          <w:tcPr>
            <w:tcW w:w="1692" w:type="dxa"/>
            <w:shd w:val="clear" w:color="auto" w:fill="auto"/>
            <w:vAlign w:val="center"/>
          </w:tcPr>
          <w:p w14:paraId="4C7A69D8"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≥120例次</w:t>
            </w:r>
          </w:p>
        </w:tc>
      </w:tr>
      <w:tr w:rsidR="00B86571" w14:paraId="2648ED24" w14:textId="77777777">
        <w:trPr>
          <w:trHeight w:hRule="exact" w:val="510"/>
          <w:jc w:val="center"/>
        </w:trPr>
        <w:tc>
          <w:tcPr>
            <w:tcW w:w="1104" w:type="dxa"/>
            <w:vMerge/>
            <w:shd w:val="clear" w:color="auto" w:fill="auto"/>
            <w:vAlign w:val="center"/>
          </w:tcPr>
          <w:p w14:paraId="7618131B"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14A1ED52"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231A15AB"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在输入医院培养博士生</w:t>
            </w:r>
          </w:p>
        </w:tc>
        <w:tc>
          <w:tcPr>
            <w:tcW w:w="1692" w:type="dxa"/>
            <w:shd w:val="clear" w:color="auto" w:fill="auto"/>
            <w:vAlign w:val="center"/>
          </w:tcPr>
          <w:p w14:paraId="3ABE0169"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≥2人</w:t>
            </w:r>
          </w:p>
        </w:tc>
      </w:tr>
      <w:tr w:rsidR="00B86571" w14:paraId="75759599" w14:textId="77777777">
        <w:trPr>
          <w:trHeight w:hRule="exact" w:val="510"/>
          <w:jc w:val="center"/>
        </w:trPr>
        <w:tc>
          <w:tcPr>
            <w:tcW w:w="1104" w:type="dxa"/>
            <w:vMerge/>
            <w:shd w:val="clear" w:color="auto" w:fill="auto"/>
            <w:vAlign w:val="center"/>
          </w:tcPr>
          <w:p w14:paraId="56BE494E"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5D0F1D43"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27E26AB5"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指导输入医院开展新技术或新项目</w:t>
            </w:r>
          </w:p>
        </w:tc>
        <w:tc>
          <w:tcPr>
            <w:tcW w:w="1692" w:type="dxa"/>
            <w:shd w:val="clear" w:color="auto" w:fill="auto"/>
            <w:vAlign w:val="center"/>
          </w:tcPr>
          <w:p w14:paraId="342473A7"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≥3项</w:t>
            </w:r>
          </w:p>
        </w:tc>
      </w:tr>
      <w:tr w:rsidR="00B86571" w14:paraId="4A8119A9" w14:textId="77777777">
        <w:trPr>
          <w:trHeight w:hRule="exact" w:val="510"/>
          <w:jc w:val="center"/>
        </w:trPr>
        <w:tc>
          <w:tcPr>
            <w:tcW w:w="1104" w:type="dxa"/>
            <w:vMerge/>
            <w:shd w:val="clear" w:color="auto" w:fill="auto"/>
            <w:vAlign w:val="center"/>
          </w:tcPr>
          <w:p w14:paraId="3AF8F6CF"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7C213026"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2041108D"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与输入医院合作开展科研项目</w:t>
            </w:r>
          </w:p>
        </w:tc>
        <w:tc>
          <w:tcPr>
            <w:tcW w:w="1692" w:type="dxa"/>
            <w:shd w:val="clear" w:color="auto" w:fill="auto"/>
            <w:vAlign w:val="center"/>
          </w:tcPr>
          <w:p w14:paraId="7B24B6AE"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不低于上年</w:t>
            </w:r>
          </w:p>
        </w:tc>
      </w:tr>
      <w:tr w:rsidR="00B86571" w14:paraId="1DED6189" w14:textId="77777777">
        <w:trPr>
          <w:trHeight w:hRule="exact" w:val="820"/>
          <w:jc w:val="center"/>
        </w:trPr>
        <w:tc>
          <w:tcPr>
            <w:tcW w:w="1104" w:type="dxa"/>
            <w:vMerge/>
            <w:shd w:val="clear" w:color="auto" w:fill="auto"/>
            <w:vAlign w:val="center"/>
          </w:tcPr>
          <w:p w14:paraId="55C24A53"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shd w:val="clear" w:color="auto" w:fill="auto"/>
            <w:vAlign w:val="center"/>
          </w:tcPr>
          <w:p w14:paraId="19AA3B81"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质量指标</w:t>
            </w:r>
          </w:p>
        </w:tc>
        <w:tc>
          <w:tcPr>
            <w:tcW w:w="4787" w:type="dxa"/>
            <w:shd w:val="clear" w:color="auto" w:fill="auto"/>
            <w:vAlign w:val="center"/>
          </w:tcPr>
          <w:p w14:paraId="32B9862D"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指导提升输入医院管理水平</w:t>
            </w:r>
          </w:p>
        </w:tc>
        <w:tc>
          <w:tcPr>
            <w:tcW w:w="1692" w:type="dxa"/>
            <w:shd w:val="clear" w:color="auto" w:fill="auto"/>
            <w:vAlign w:val="center"/>
          </w:tcPr>
          <w:p w14:paraId="125D3CAD"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较上年提高或科学制定医院管理有关章程制度</w:t>
            </w:r>
          </w:p>
        </w:tc>
      </w:tr>
      <w:tr w:rsidR="00B86571" w14:paraId="2F78F61C" w14:textId="77777777">
        <w:trPr>
          <w:trHeight w:hRule="exact" w:val="630"/>
          <w:jc w:val="center"/>
        </w:trPr>
        <w:tc>
          <w:tcPr>
            <w:tcW w:w="1104" w:type="dxa"/>
            <w:shd w:val="clear" w:color="auto" w:fill="auto"/>
            <w:vAlign w:val="center"/>
          </w:tcPr>
          <w:p w14:paraId="36C39073"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效益指标</w:t>
            </w:r>
          </w:p>
        </w:tc>
        <w:tc>
          <w:tcPr>
            <w:tcW w:w="1528" w:type="dxa"/>
            <w:shd w:val="clear" w:color="auto" w:fill="auto"/>
            <w:vAlign w:val="center"/>
          </w:tcPr>
          <w:p w14:paraId="078950CA"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社会效益</w:t>
            </w:r>
          </w:p>
          <w:p w14:paraId="39ED1406"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指标</w:t>
            </w:r>
          </w:p>
        </w:tc>
        <w:tc>
          <w:tcPr>
            <w:tcW w:w="4787" w:type="dxa"/>
            <w:shd w:val="clear" w:color="auto" w:fill="auto"/>
            <w:vAlign w:val="center"/>
          </w:tcPr>
          <w:p w14:paraId="5725FE53"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输入医院重点专病外转率</w:t>
            </w:r>
          </w:p>
        </w:tc>
        <w:tc>
          <w:tcPr>
            <w:tcW w:w="1692" w:type="dxa"/>
            <w:shd w:val="clear" w:color="auto" w:fill="auto"/>
            <w:vAlign w:val="center"/>
          </w:tcPr>
          <w:p w14:paraId="679A8F51"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较上年下降或开始收治本地患者</w:t>
            </w:r>
          </w:p>
        </w:tc>
      </w:tr>
      <w:tr w:rsidR="00B86571" w14:paraId="4224B6BC" w14:textId="77777777">
        <w:trPr>
          <w:trHeight w:hRule="exact" w:val="510"/>
          <w:jc w:val="center"/>
        </w:trPr>
        <w:tc>
          <w:tcPr>
            <w:tcW w:w="1104" w:type="dxa"/>
            <w:vMerge w:val="restart"/>
            <w:shd w:val="clear" w:color="auto" w:fill="auto"/>
            <w:vAlign w:val="center"/>
          </w:tcPr>
          <w:p w14:paraId="4E866849"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满意度指标</w:t>
            </w:r>
          </w:p>
        </w:tc>
        <w:tc>
          <w:tcPr>
            <w:tcW w:w="1528" w:type="dxa"/>
            <w:vMerge w:val="restart"/>
            <w:shd w:val="clear" w:color="auto" w:fill="auto"/>
            <w:vAlign w:val="center"/>
          </w:tcPr>
          <w:p w14:paraId="155BA9BD"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服务对象满意度指标</w:t>
            </w:r>
          </w:p>
        </w:tc>
        <w:tc>
          <w:tcPr>
            <w:tcW w:w="4787" w:type="dxa"/>
            <w:shd w:val="clear" w:color="auto" w:fill="auto"/>
            <w:vAlign w:val="center"/>
          </w:tcPr>
          <w:p w14:paraId="788B7CBE"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输入医院门诊患者满意度</w:t>
            </w:r>
          </w:p>
        </w:tc>
        <w:tc>
          <w:tcPr>
            <w:tcW w:w="1692" w:type="dxa"/>
            <w:shd w:val="clear" w:color="auto" w:fill="auto"/>
            <w:vAlign w:val="center"/>
          </w:tcPr>
          <w:p w14:paraId="1A3D70FF"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较上年提高</w:t>
            </w:r>
          </w:p>
        </w:tc>
      </w:tr>
      <w:tr w:rsidR="00B86571" w14:paraId="1FB9C41D" w14:textId="77777777">
        <w:trPr>
          <w:trHeight w:hRule="exact" w:val="510"/>
          <w:jc w:val="center"/>
        </w:trPr>
        <w:tc>
          <w:tcPr>
            <w:tcW w:w="1104" w:type="dxa"/>
            <w:vMerge/>
            <w:shd w:val="clear" w:color="auto" w:fill="auto"/>
            <w:vAlign w:val="center"/>
          </w:tcPr>
          <w:p w14:paraId="15832ACF"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640DF8E0"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071193A1"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输入医院住院患者满意度</w:t>
            </w:r>
          </w:p>
        </w:tc>
        <w:tc>
          <w:tcPr>
            <w:tcW w:w="1692" w:type="dxa"/>
            <w:shd w:val="clear" w:color="auto" w:fill="auto"/>
            <w:vAlign w:val="center"/>
          </w:tcPr>
          <w:p w14:paraId="48592A54"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较上年提高</w:t>
            </w:r>
          </w:p>
        </w:tc>
      </w:tr>
      <w:tr w:rsidR="00B86571" w14:paraId="76C6D813" w14:textId="77777777">
        <w:trPr>
          <w:trHeight w:hRule="exact" w:val="510"/>
          <w:jc w:val="center"/>
        </w:trPr>
        <w:tc>
          <w:tcPr>
            <w:tcW w:w="1104" w:type="dxa"/>
            <w:vMerge/>
            <w:shd w:val="clear" w:color="auto" w:fill="auto"/>
            <w:vAlign w:val="center"/>
          </w:tcPr>
          <w:p w14:paraId="34A56015"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1528" w:type="dxa"/>
            <w:vMerge/>
            <w:shd w:val="clear" w:color="auto" w:fill="auto"/>
            <w:vAlign w:val="center"/>
          </w:tcPr>
          <w:p w14:paraId="4763CD69" w14:textId="77777777" w:rsidR="00B86571" w:rsidRDefault="00B86571">
            <w:pPr>
              <w:widowControl/>
              <w:spacing w:line="240" w:lineRule="exact"/>
              <w:jc w:val="center"/>
              <w:textAlignment w:val="center"/>
              <w:rPr>
                <w:rFonts w:ascii="宋体" w:hAnsi="宋体" w:cs="宋体"/>
                <w:color w:val="000000"/>
                <w:kern w:val="0"/>
                <w:szCs w:val="21"/>
                <w:lang w:bidi="ar"/>
              </w:rPr>
            </w:pPr>
          </w:p>
        </w:tc>
        <w:tc>
          <w:tcPr>
            <w:tcW w:w="4787" w:type="dxa"/>
            <w:shd w:val="clear" w:color="auto" w:fill="auto"/>
            <w:vAlign w:val="center"/>
          </w:tcPr>
          <w:p w14:paraId="5ACC0F6F"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输入医院医务人员满意度</w:t>
            </w:r>
          </w:p>
        </w:tc>
        <w:tc>
          <w:tcPr>
            <w:tcW w:w="1692" w:type="dxa"/>
            <w:shd w:val="clear" w:color="auto" w:fill="auto"/>
            <w:vAlign w:val="center"/>
          </w:tcPr>
          <w:p w14:paraId="6178EA71" w14:textId="77777777" w:rsidR="00B86571" w:rsidRDefault="00000000">
            <w:pPr>
              <w:widowControl/>
              <w:spacing w:line="24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较上年提高</w:t>
            </w:r>
          </w:p>
        </w:tc>
      </w:tr>
    </w:tbl>
    <w:p w14:paraId="455C47BD" w14:textId="77777777" w:rsidR="00B86571" w:rsidRDefault="00000000">
      <w:pPr>
        <w:pStyle w:val="1"/>
        <w:keepNext w:val="0"/>
        <w:keepLines w:val="0"/>
        <w:spacing w:before="0" w:after="0" w:line="560" w:lineRule="exact"/>
        <w:ind w:firstLineChars="200" w:firstLine="640"/>
        <w:contextualSpacing/>
        <w:textAlignment w:val="center"/>
        <w:rPr>
          <w:rFonts w:eastAsia="黑体"/>
          <w:b w:val="0"/>
          <w:kern w:val="0"/>
          <w:sz w:val="32"/>
          <w:szCs w:val="32"/>
          <w:lang w:bidi="en-US"/>
        </w:rPr>
      </w:pPr>
      <w:bookmarkStart w:id="8" w:name="_Toc15795"/>
      <w:r>
        <w:rPr>
          <w:rFonts w:eastAsia="黑体"/>
          <w:b w:val="0"/>
          <w:kern w:val="0"/>
          <w:sz w:val="32"/>
          <w:szCs w:val="32"/>
          <w:lang w:bidi="en-US"/>
        </w:rPr>
        <w:t>二、绩效评价工作开展情况</w:t>
      </w:r>
      <w:bookmarkEnd w:id="7"/>
      <w:bookmarkEnd w:id="8"/>
    </w:p>
    <w:p w14:paraId="0038FACD" w14:textId="77777777" w:rsidR="00B86571" w:rsidRDefault="00000000">
      <w:pPr>
        <w:spacing w:line="560" w:lineRule="exact"/>
        <w:ind w:firstLineChars="200" w:firstLine="640"/>
        <w:textAlignment w:val="center"/>
        <w:outlineLvl w:val="1"/>
        <w:rPr>
          <w:rFonts w:eastAsia="楷体"/>
          <w:sz w:val="32"/>
          <w:szCs w:val="32"/>
        </w:rPr>
      </w:pPr>
      <w:bookmarkStart w:id="9" w:name="_Toc20889"/>
      <w:bookmarkStart w:id="10" w:name="_Toc23276"/>
      <w:r>
        <w:rPr>
          <w:rFonts w:eastAsia="楷体"/>
          <w:sz w:val="32"/>
          <w:szCs w:val="32"/>
        </w:rPr>
        <w:t>（一）绩效评价目的、对象和</w:t>
      </w:r>
      <w:bookmarkEnd w:id="9"/>
      <w:bookmarkEnd w:id="10"/>
      <w:r>
        <w:rPr>
          <w:rFonts w:eastAsia="楷体" w:hint="eastAsia"/>
          <w:sz w:val="32"/>
          <w:szCs w:val="32"/>
        </w:rPr>
        <w:t>依据</w:t>
      </w:r>
    </w:p>
    <w:p w14:paraId="24FA357C"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评价目的</w:t>
      </w:r>
    </w:p>
    <w:p w14:paraId="2DE29391" w14:textId="77777777" w:rsidR="00B86571" w:rsidRDefault="00000000">
      <w:pPr>
        <w:spacing w:line="560" w:lineRule="exact"/>
        <w:ind w:firstLineChars="200" w:firstLine="640"/>
        <w:textAlignment w:val="center"/>
        <w:rPr>
          <w:rFonts w:eastAsia="仿宋_GB2312"/>
          <w:color w:val="000000"/>
          <w:kern w:val="0"/>
          <w:sz w:val="32"/>
          <w:szCs w:val="32"/>
        </w:rPr>
      </w:pPr>
      <w:r>
        <w:rPr>
          <w:rFonts w:eastAsia="仿宋_GB2312"/>
          <w:color w:val="000000"/>
          <w:kern w:val="0"/>
          <w:sz w:val="32"/>
          <w:szCs w:val="32"/>
        </w:rPr>
        <w:t>通过本次绩效评价，分析</w:t>
      </w:r>
      <w:r>
        <w:rPr>
          <w:rFonts w:eastAsia="仿宋_GB2312" w:hint="eastAsia"/>
          <w:color w:val="000000"/>
          <w:kern w:val="0"/>
          <w:sz w:val="32"/>
          <w:szCs w:val="32"/>
        </w:rPr>
        <w:t>天坛医院医疗服务与保障能力提升（第三批）—区域医疗中心补助资金</w:t>
      </w:r>
      <w:r>
        <w:rPr>
          <w:rFonts w:eastAsia="仿宋_GB2312"/>
          <w:color w:val="000000"/>
          <w:kern w:val="0"/>
          <w:sz w:val="32"/>
          <w:szCs w:val="32"/>
        </w:rPr>
        <w:t>的经济性、效率性、效益性和公平性，发现项目在决策过程、资金投入管理和使用过程、相关管理制度办法的健全性及执行过程、实现的产出及取得的效益等方面存在的问题，为主管部门改进工作提供决策建议和依据，促进项目实施单位树立以结果为导向的绩效管理理念，提高科学决策水平，规范项目管理，保证项目资金使用的规范性、安全性。</w:t>
      </w:r>
    </w:p>
    <w:p w14:paraId="6843E868"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评价对象</w:t>
      </w:r>
    </w:p>
    <w:p w14:paraId="1037C99B" w14:textId="77777777" w:rsidR="00B86571" w:rsidRDefault="00000000">
      <w:pPr>
        <w:spacing w:line="560" w:lineRule="exact"/>
        <w:ind w:firstLineChars="200" w:firstLine="640"/>
        <w:textAlignment w:val="center"/>
        <w:rPr>
          <w:rFonts w:eastAsia="仿宋_GB2312"/>
          <w:color w:val="000000"/>
          <w:kern w:val="0"/>
          <w:sz w:val="32"/>
          <w:szCs w:val="32"/>
        </w:rPr>
      </w:pPr>
      <w:r>
        <w:rPr>
          <w:rFonts w:eastAsia="仿宋_GB2312" w:hint="eastAsia"/>
          <w:color w:val="000000"/>
          <w:kern w:val="0"/>
          <w:sz w:val="32"/>
          <w:szCs w:val="32"/>
        </w:rPr>
        <w:t>本次</w:t>
      </w:r>
      <w:r>
        <w:rPr>
          <w:rFonts w:eastAsia="仿宋_GB2312"/>
          <w:color w:val="000000"/>
          <w:kern w:val="0"/>
          <w:sz w:val="32"/>
          <w:szCs w:val="32"/>
        </w:rPr>
        <w:t>项目支出</w:t>
      </w:r>
      <w:r>
        <w:rPr>
          <w:rFonts w:eastAsia="仿宋_GB2312" w:hint="eastAsia"/>
          <w:color w:val="000000"/>
          <w:kern w:val="0"/>
          <w:sz w:val="32"/>
          <w:szCs w:val="32"/>
        </w:rPr>
        <w:t>绩效评价工作评价对象为</w:t>
      </w:r>
      <w:r>
        <w:rPr>
          <w:rFonts w:eastAsia="仿宋_GB2312" w:hint="eastAsia"/>
          <w:color w:val="000000"/>
          <w:kern w:val="0"/>
          <w:sz w:val="32"/>
          <w:szCs w:val="32"/>
        </w:rPr>
        <w:t>2</w:t>
      </w:r>
      <w:r>
        <w:rPr>
          <w:rFonts w:eastAsia="仿宋_GB2312"/>
          <w:color w:val="000000"/>
          <w:kern w:val="0"/>
          <w:sz w:val="32"/>
          <w:szCs w:val="32"/>
        </w:rPr>
        <w:t>022</w:t>
      </w:r>
      <w:r>
        <w:rPr>
          <w:rFonts w:eastAsia="仿宋_GB2312" w:hint="eastAsia"/>
          <w:color w:val="000000"/>
          <w:kern w:val="0"/>
          <w:sz w:val="32"/>
          <w:szCs w:val="32"/>
        </w:rPr>
        <w:t>年度天坛医院医疗服务与保障能力提升（第三批）—区域医疗中心补助资金。</w:t>
      </w:r>
    </w:p>
    <w:p w14:paraId="473E0165"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评价依据</w:t>
      </w:r>
    </w:p>
    <w:p w14:paraId="30C86179" w14:textId="77777777" w:rsidR="00B86571" w:rsidRDefault="00000000">
      <w:pPr>
        <w:numPr>
          <w:ilvl w:val="0"/>
          <w:numId w:val="2"/>
        </w:numPr>
        <w:spacing w:line="560" w:lineRule="exact"/>
        <w:ind w:left="0" w:firstLineChars="200" w:firstLine="640"/>
        <w:textAlignment w:val="center"/>
        <w:rPr>
          <w:rFonts w:eastAsia="仿宋_GB2312"/>
          <w:sz w:val="32"/>
          <w:szCs w:val="32"/>
        </w:rPr>
      </w:pPr>
      <w:r>
        <w:rPr>
          <w:rFonts w:eastAsia="仿宋_GB2312"/>
          <w:sz w:val="32"/>
          <w:szCs w:val="32"/>
        </w:rPr>
        <w:t>《中共北京市委</w:t>
      </w:r>
      <w:r>
        <w:rPr>
          <w:rFonts w:eastAsia="仿宋_GB2312"/>
          <w:sz w:val="32"/>
          <w:szCs w:val="32"/>
        </w:rPr>
        <w:t xml:space="preserve"> </w:t>
      </w:r>
      <w:r>
        <w:rPr>
          <w:rFonts w:eastAsia="仿宋_GB2312"/>
          <w:sz w:val="32"/>
          <w:szCs w:val="32"/>
        </w:rPr>
        <w:t>北京市人民政府关于全面实施预算绩效管理的实施意见》（京发〔</w:t>
      </w:r>
      <w:r>
        <w:rPr>
          <w:rFonts w:eastAsia="仿宋_GB2312"/>
          <w:sz w:val="32"/>
          <w:szCs w:val="32"/>
        </w:rPr>
        <w:t>2019</w:t>
      </w:r>
      <w:r>
        <w:rPr>
          <w:rFonts w:eastAsia="仿宋_GB2312"/>
          <w:sz w:val="32"/>
          <w:szCs w:val="32"/>
        </w:rPr>
        <w:t>〕</w:t>
      </w:r>
      <w:r>
        <w:rPr>
          <w:rFonts w:eastAsia="仿宋_GB2312"/>
          <w:sz w:val="32"/>
          <w:szCs w:val="32"/>
        </w:rPr>
        <w:t>12</w:t>
      </w:r>
      <w:r>
        <w:rPr>
          <w:rFonts w:eastAsia="仿宋_GB2312"/>
          <w:sz w:val="32"/>
          <w:szCs w:val="32"/>
        </w:rPr>
        <w:t>号）；</w:t>
      </w:r>
    </w:p>
    <w:p w14:paraId="12503A5F" w14:textId="77777777" w:rsidR="00B86571" w:rsidRDefault="00000000">
      <w:pPr>
        <w:numPr>
          <w:ilvl w:val="0"/>
          <w:numId w:val="2"/>
        </w:numPr>
        <w:spacing w:line="560" w:lineRule="exact"/>
        <w:ind w:left="0" w:firstLineChars="200" w:firstLine="640"/>
        <w:textAlignment w:val="center"/>
        <w:rPr>
          <w:rFonts w:eastAsia="仿宋_GB2312"/>
          <w:sz w:val="32"/>
          <w:szCs w:val="32"/>
        </w:rPr>
      </w:pPr>
      <w:r>
        <w:rPr>
          <w:rFonts w:eastAsia="仿宋_GB2312"/>
          <w:sz w:val="32"/>
          <w:szCs w:val="32"/>
        </w:rPr>
        <w:lastRenderedPageBreak/>
        <w:t>《北京市项目支出绩效评价管理办法》（京财绩效〔</w:t>
      </w:r>
      <w:r>
        <w:rPr>
          <w:rFonts w:eastAsia="仿宋_GB2312"/>
          <w:sz w:val="32"/>
          <w:szCs w:val="32"/>
        </w:rPr>
        <w:t>2020</w:t>
      </w:r>
      <w:r>
        <w:rPr>
          <w:rFonts w:eastAsia="仿宋_GB2312"/>
          <w:sz w:val="32"/>
          <w:szCs w:val="32"/>
        </w:rPr>
        <w:t>〕</w:t>
      </w:r>
      <w:r>
        <w:rPr>
          <w:rFonts w:eastAsia="仿宋_GB2312"/>
          <w:sz w:val="32"/>
          <w:szCs w:val="32"/>
        </w:rPr>
        <w:t>2146</w:t>
      </w:r>
      <w:r>
        <w:rPr>
          <w:rFonts w:eastAsia="仿宋_GB2312"/>
          <w:sz w:val="32"/>
          <w:szCs w:val="32"/>
        </w:rPr>
        <w:t>号）；</w:t>
      </w:r>
    </w:p>
    <w:p w14:paraId="2ADC1911" w14:textId="77777777" w:rsidR="00B86571" w:rsidRDefault="00000000">
      <w:pPr>
        <w:numPr>
          <w:ilvl w:val="0"/>
          <w:numId w:val="2"/>
        </w:numPr>
        <w:spacing w:line="560" w:lineRule="exact"/>
        <w:ind w:left="0" w:firstLineChars="200" w:firstLine="640"/>
        <w:textAlignment w:val="center"/>
        <w:rPr>
          <w:rFonts w:eastAsia="仿宋_GB2312"/>
          <w:sz w:val="32"/>
          <w:szCs w:val="32"/>
        </w:rPr>
      </w:pPr>
      <w:r>
        <w:rPr>
          <w:rFonts w:eastAsia="仿宋_GB2312"/>
          <w:sz w:val="32"/>
          <w:szCs w:val="32"/>
        </w:rPr>
        <w:t>相关行业政策、行业标准及专业技术规范；</w:t>
      </w:r>
    </w:p>
    <w:p w14:paraId="58BA70C0" w14:textId="77777777" w:rsidR="00B86571" w:rsidRDefault="00000000">
      <w:pPr>
        <w:numPr>
          <w:ilvl w:val="0"/>
          <w:numId w:val="2"/>
        </w:numPr>
        <w:spacing w:line="560" w:lineRule="exact"/>
        <w:ind w:left="0" w:firstLineChars="200" w:firstLine="640"/>
        <w:textAlignment w:val="center"/>
        <w:rPr>
          <w:rFonts w:eastAsia="仿宋_GB2312"/>
          <w:sz w:val="32"/>
          <w:szCs w:val="32"/>
        </w:rPr>
      </w:pPr>
      <w:r>
        <w:rPr>
          <w:rFonts w:eastAsia="仿宋_GB2312"/>
          <w:sz w:val="32"/>
          <w:szCs w:val="32"/>
        </w:rPr>
        <w:t>项目单位提供的绩效目标申报表、绩效报告以及其他相关资料。</w:t>
      </w:r>
    </w:p>
    <w:p w14:paraId="03844BD9" w14:textId="77777777" w:rsidR="00B86571" w:rsidRDefault="00000000">
      <w:pPr>
        <w:spacing w:line="560" w:lineRule="exact"/>
        <w:ind w:firstLineChars="200" w:firstLine="640"/>
        <w:textAlignment w:val="center"/>
        <w:outlineLvl w:val="1"/>
        <w:rPr>
          <w:rFonts w:eastAsia="楷体"/>
          <w:sz w:val="32"/>
          <w:szCs w:val="32"/>
        </w:rPr>
      </w:pPr>
      <w:bookmarkStart w:id="11" w:name="_Toc21046"/>
      <w:bookmarkStart w:id="12" w:name="_Toc13274"/>
      <w:r>
        <w:rPr>
          <w:rFonts w:eastAsia="楷体"/>
          <w:sz w:val="32"/>
          <w:szCs w:val="32"/>
        </w:rPr>
        <w:t>（二）绩效评价原则、评价指标体系</w:t>
      </w:r>
      <w:bookmarkEnd w:id="11"/>
      <w:bookmarkEnd w:id="12"/>
    </w:p>
    <w:p w14:paraId="055E6BFF"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绩效评价原则</w:t>
      </w:r>
    </w:p>
    <w:p w14:paraId="1261D6E7"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）绩效导向原则。以绩效导向和成本控制理念为出发点，以决策、过程、产出和效益为评价重点，注重投入产出比，对整个项目进行综合评价。</w:t>
      </w:r>
    </w:p>
    <w:p w14:paraId="4E7E1769"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）科学规范原则。通过规范的程序，采用定性与定量相结合的方法，通过多种途径和手段充分收集证据资料，保证评价结论科学可信。</w:t>
      </w:r>
    </w:p>
    <w:p w14:paraId="5654F986"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）客观公正原则。秉承公开、公平、公正原则，实事求是、公平合理地进行评价，利益相关方不得影响评价过程及评价结果。</w:t>
      </w:r>
    </w:p>
    <w:p w14:paraId="14F5767B"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评价指标体系</w:t>
      </w:r>
    </w:p>
    <w:p w14:paraId="27CEF645" w14:textId="77777777" w:rsidR="00B86571" w:rsidRDefault="00000000">
      <w:pPr>
        <w:spacing w:line="560" w:lineRule="exact"/>
        <w:ind w:firstLineChars="200" w:firstLine="640"/>
        <w:textAlignment w:val="center"/>
        <w:rPr>
          <w:rFonts w:eastAsia="仿宋_GB2312"/>
          <w:sz w:val="32"/>
          <w:szCs w:val="32"/>
        </w:rPr>
      </w:pPr>
      <w:r>
        <w:rPr>
          <w:rFonts w:eastAsia="仿宋_GB2312"/>
          <w:color w:val="000000"/>
          <w:kern w:val="0"/>
          <w:sz w:val="32"/>
          <w:szCs w:val="32"/>
        </w:rPr>
        <w:t>评价工作组根据</w:t>
      </w:r>
      <w:r>
        <w:rPr>
          <w:rFonts w:eastAsia="仿宋_GB2312" w:hint="eastAsia"/>
          <w:color w:val="000000"/>
          <w:kern w:val="0"/>
          <w:sz w:val="32"/>
          <w:szCs w:val="32"/>
        </w:rPr>
        <w:t>北京市</w:t>
      </w:r>
      <w:r>
        <w:rPr>
          <w:rFonts w:eastAsia="仿宋_GB2312"/>
          <w:sz w:val="32"/>
          <w:szCs w:val="32"/>
        </w:rPr>
        <w:t>财政支出项目绩效评价体系框架，</w:t>
      </w:r>
      <w:r>
        <w:rPr>
          <w:rFonts w:eastAsia="仿宋_GB2312"/>
          <w:color w:val="000000"/>
          <w:kern w:val="0"/>
          <w:sz w:val="32"/>
          <w:szCs w:val="32"/>
        </w:rPr>
        <w:t>围绕决策、过程、产出、效益</w:t>
      </w:r>
      <w:r>
        <w:rPr>
          <w:rFonts w:eastAsia="仿宋_GB2312"/>
          <w:sz w:val="32"/>
          <w:szCs w:val="32"/>
        </w:rPr>
        <w:t>四个维度分解制定</w:t>
      </w:r>
      <w:r>
        <w:rPr>
          <w:rFonts w:eastAsia="仿宋_GB2312" w:hint="eastAsia"/>
          <w:color w:val="000000"/>
          <w:kern w:val="0"/>
          <w:sz w:val="32"/>
          <w:szCs w:val="32"/>
        </w:rPr>
        <w:t>天坛医院医疗服务与保障能力提升（第三批）—区域医疗中心补助资金</w:t>
      </w:r>
      <w:r>
        <w:rPr>
          <w:rFonts w:eastAsia="仿宋_GB2312"/>
          <w:sz w:val="32"/>
          <w:szCs w:val="32"/>
        </w:rPr>
        <w:t>绩效评价指标体系，并根据指标的重要性与相关性确定权重。项目评价指标体系共设置</w:t>
      </w:r>
      <w:r>
        <w:rPr>
          <w:rFonts w:eastAsia="仿宋_GB2312"/>
          <w:sz w:val="32"/>
          <w:szCs w:val="32"/>
        </w:rPr>
        <w:t>4</w:t>
      </w:r>
      <w:r>
        <w:rPr>
          <w:rFonts w:eastAsia="仿宋_GB2312"/>
          <w:sz w:val="32"/>
          <w:szCs w:val="32"/>
        </w:rPr>
        <w:t>个一级指标，根据一级指标分解为</w:t>
      </w:r>
      <w:r>
        <w:rPr>
          <w:rFonts w:eastAsia="仿宋_GB2312"/>
          <w:sz w:val="32"/>
          <w:szCs w:val="32"/>
        </w:rPr>
        <w:t>12</w:t>
      </w:r>
      <w:r>
        <w:rPr>
          <w:rFonts w:eastAsia="仿宋_GB2312"/>
          <w:sz w:val="32"/>
          <w:szCs w:val="32"/>
        </w:rPr>
        <w:t>个二级指标、</w:t>
      </w:r>
      <w:r>
        <w:rPr>
          <w:rFonts w:eastAsia="仿宋_GB2312" w:hint="eastAsia"/>
          <w:sz w:val="32"/>
          <w:szCs w:val="32"/>
        </w:rPr>
        <w:lastRenderedPageBreak/>
        <w:t>24</w:t>
      </w:r>
      <w:r>
        <w:rPr>
          <w:rFonts w:eastAsia="仿宋_GB2312"/>
          <w:sz w:val="32"/>
          <w:szCs w:val="32"/>
        </w:rPr>
        <w:t>个三级指标。根据决策和过程在该项目中的重要程度，</w:t>
      </w:r>
      <w:r>
        <w:rPr>
          <w:rFonts w:eastAsia="仿宋_GB2312" w:hint="eastAsia"/>
          <w:sz w:val="32"/>
          <w:szCs w:val="32"/>
        </w:rPr>
        <w:t>“</w:t>
      </w:r>
      <w:r>
        <w:rPr>
          <w:rFonts w:eastAsia="仿宋_GB2312"/>
          <w:sz w:val="32"/>
          <w:szCs w:val="32"/>
        </w:rPr>
        <w:t>决策</w:t>
      </w:r>
      <w:r>
        <w:rPr>
          <w:rFonts w:eastAsia="仿宋_GB2312" w:hint="eastAsia"/>
          <w:sz w:val="32"/>
          <w:szCs w:val="32"/>
        </w:rPr>
        <w:t>”</w:t>
      </w:r>
      <w:r>
        <w:rPr>
          <w:rFonts w:eastAsia="仿宋_GB2312"/>
          <w:sz w:val="32"/>
          <w:szCs w:val="32"/>
        </w:rPr>
        <w:t>权重设置为</w:t>
      </w:r>
      <w:r>
        <w:rPr>
          <w:rFonts w:eastAsia="仿宋_GB2312"/>
          <w:sz w:val="32"/>
          <w:szCs w:val="32"/>
        </w:rPr>
        <w:t>10</w:t>
      </w:r>
      <w:r>
        <w:rPr>
          <w:rFonts w:eastAsia="仿宋_GB2312"/>
          <w:sz w:val="32"/>
          <w:szCs w:val="32"/>
        </w:rPr>
        <w:t>分，</w:t>
      </w:r>
      <w:r>
        <w:rPr>
          <w:rFonts w:eastAsia="仿宋_GB2312" w:hint="eastAsia"/>
          <w:sz w:val="32"/>
          <w:szCs w:val="32"/>
        </w:rPr>
        <w:t>“</w:t>
      </w:r>
      <w:r>
        <w:rPr>
          <w:rFonts w:eastAsia="仿宋_GB2312"/>
          <w:sz w:val="32"/>
          <w:szCs w:val="32"/>
        </w:rPr>
        <w:t>过程</w:t>
      </w:r>
      <w:r>
        <w:rPr>
          <w:rFonts w:eastAsia="仿宋_GB2312" w:hint="eastAsia"/>
          <w:sz w:val="32"/>
          <w:szCs w:val="32"/>
        </w:rPr>
        <w:t>”</w:t>
      </w:r>
      <w:r>
        <w:rPr>
          <w:rFonts w:eastAsia="仿宋_GB2312"/>
          <w:sz w:val="32"/>
          <w:szCs w:val="32"/>
        </w:rPr>
        <w:t>权重设置为</w:t>
      </w:r>
      <w:r>
        <w:rPr>
          <w:rFonts w:eastAsia="仿宋_GB2312"/>
          <w:sz w:val="32"/>
          <w:szCs w:val="32"/>
        </w:rPr>
        <w:t>20</w:t>
      </w:r>
      <w:r>
        <w:rPr>
          <w:rFonts w:eastAsia="仿宋_GB2312"/>
          <w:sz w:val="32"/>
          <w:szCs w:val="32"/>
        </w:rPr>
        <w:t>分；为突出结果导向，</w:t>
      </w:r>
      <w:r>
        <w:rPr>
          <w:rFonts w:eastAsia="仿宋_GB2312" w:hint="eastAsia"/>
          <w:sz w:val="32"/>
          <w:szCs w:val="32"/>
        </w:rPr>
        <w:t>“</w:t>
      </w:r>
      <w:r>
        <w:rPr>
          <w:rFonts w:eastAsia="仿宋_GB2312"/>
          <w:sz w:val="32"/>
          <w:szCs w:val="32"/>
        </w:rPr>
        <w:t>产出</w:t>
      </w:r>
      <w:r>
        <w:rPr>
          <w:rFonts w:eastAsia="仿宋_GB2312" w:hint="eastAsia"/>
          <w:sz w:val="32"/>
          <w:szCs w:val="32"/>
        </w:rPr>
        <w:t>”</w:t>
      </w:r>
      <w:r>
        <w:rPr>
          <w:rFonts w:eastAsia="仿宋_GB2312"/>
          <w:sz w:val="32"/>
          <w:szCs w:val="32"/>
        </w:rPr>
        <w:t>权重设置为</w:t>
      </w:r>
      <w:r>
        <w:rPr>
          <w:rFonts w:eastAsia="仿宋_GB2312"/>
          <w:sz w:val="32"/>
          <w:szCs w:val="32"/>
        </w:rPr>
        <w:t>40</w:t>
      </w:r>
      <w:r>
        <w:rPr>
          <w:rFonts w:eastAsia="仿宋_GB2312"/>
          <w:sz w:val="32"/>
          <w:szCs w:val="32"/>
        </w:rPr>
        <w:t>分，</w:t>
      </w:r>
      <w:r>
        <w:rPr>
          <w:rFonts w:eastAsia="仿宋_GB2312" w:hint="eastAsia"/>
          <w:sz w:val="32"/>
          <w:szCs w:val="32"/>
        </w:rPr>
        <w:t>“</w:t>
      </w:r>
      <w:r>
        <w:rPr>
          <w:rFonts w:eastAsia="仿宋_GB2312"/>
          <w:sz w:val="32"/>
          <w:szCs w:val="32"/>
        </w:rPr>
        <w:t>效益</w:t>
      </w:r>
      <w:r>
        <w:rPr>
          <w:rFonts w:eastAsia="仿宋_GB2312" w:hint="eastAsia"/>
          <w:sz w:val="32"/>
          <w:szCs w:val="32"/>
        </w:rPr>
        <w:t>”</w:t>
      </w:r>
      <w:r>
        <w:rPr>
          <w:rFonts w:eastAsia="仿宋_GB2312"/>
          <w:sz w:val="32"/>
          <w:szCs w:val="32"/>
        </w:rPr>
        <w:t>权重设置为</w:t>
      </w:r>
      <w:r>
        <w:rPr>
          <w:rFonts w:eastAsia="仿宋_GB2312"/>
          <w:sz w:val="32"/>
          <w:szCs w:val="32"/>
        </w:rPr>
        <w:t>30</w:t>
      </w:r>
      <w:r>
        <w:rPr>
          <w:rFonts w:eastAsia="仿宋_GB2312"/>
          <w:sz w:val="32"/>
          <w:szCs w:val="32"/>
        </w:rPr>
        <w:t>分</w:t>
      </w:r>
      <w:r>
        <w:rPr>
          <w:rFonts w:eastAsia="仿宋_GB2312" w:hint="eastAsia"/>
          <w:sz w:val="32"/>
          <w:szCs w:val="32"/>
        </w:rPr>
        <w:t>，</w:t>
      </w:r>
      <w:r>
        <w:rPr>
          <w:rFonts w:eastAsia="仿宋_GB2312"/>
          <w:sz w:val="32"/>
          <w:szCs w:val="32"/>
        </w:rPr>
        <w:t>具体</w:t>
      </w:r>
      <w:r>
        <w:rPr>
          <w:rFonts w:eastAsia="仿宋_GB2312" w:hint="eastAsia"/>
          <w:sz w:val="32"/>
          <w:szCs w:val="32"/>
        </w:rPr>
        <w:t>详见下表。</w:t>
      </w:r>
    </w:p>
    <w:p w14:paraId="49CA87A3" w14:textId="77777777" w:rsidR="00B86571" w:rsidRDefault="00000000">
      <w:pPr>
        <w:pStyle w:val="a0"/>
        <w:spacing w:afterLines="50" w:after="156" w:line="560" w:lineRule="exact"/>
        <w:jc w:val="center"/>
        <w:textAlignment w:val="center"/>
        <w:rPr>
          <w:rFonts w:eastAsia="仿宋_GB2312"/>
          <w:b/>
          <w:bCs/>
          <w:sz w:val="24"/>
        </w:rPr>
      </w:pPr>
      <w:r>
        <w:rPr>
          <w:rFonts w:eastAsia="黑体"/>
          <w:kern w:val="44"/>
          <w:sz w:val="24"/>
        </w:rPr>
        <w:t>表</w:t>
      </w:r>
      <w:r>
        <w:rPr>
          <w:rFonts w:eastAsia="黑体" w:hint="eastAsia"/>
          <w:kern w:val="44"/>
          <w:sz w:val="24"/>
        </w:rPr>
        <w:t>2</w:t>
      </w:r>
      <w:r>
        <w:rPr>
          <w:rFonts w:eastAsia="黑体"/>
          <w:kern w:val="44"/>
          <w:sz w:val="24"/>
        </w:rPr>
        <w:t xml:space="preserve"> </w:t>
      </w:r>
      <w:r>
        <w:rPr>
          <w:rFonts w:eastAsia="黑体" w:hint="eastAsia"/>
          <w:kern w:val="44"/>
          <w:sz w:val="24"/>
        </w:rPr>
        <w:t>天坛医院医疗服务与保障能力提升（第三批）—区域医疗中心补助资金</w:t>
      </w:r>
      <w:r>
        <w:rPr>
          <w:rFonts w:eastAsia="黑体"/>
          <w:kern w:val="44"/>
          <w:sz w:val="24"/>
        </w:rPr>
        <w:t>评价指标体系框架</w:t>
      </w:r>
    </w:p>
    <w:tbl>
      <w:tblPr>
        <w:tblW w:w="4847" w:type="pct"/>
        <w:jc w:val="center"/>
        <w:tblLayout w:type="fixed"/>
        <w:tblLook w:val="04A0" w:firstRow="1" w:lastRow="0" w:firstColumn="1" w:lastColumn="0" w:noHBand="0" w:noVBand="1"/>
      </w:tblPr>
      <w:tblGrid>
        <w:gridCol w:w="1565"/>
        <w:gridCol w:w="1356"/>
        <w:gridCol w:w="903"/>
        <w:gridCol w:w="3984"/>
        <w:gridCol w:w="757"/>
      </w:tblGrid>
      <w:tr w:rsidR="00B86571" w14:paraId="70686DBC" w14:textId="77777777">
        <w:trPr>
          <w:trHeight w:hRule="exact" w:val="477"/>
          <w:tblHeader/>
          <w:jc w:val="center"/>
        </w:trPr>
        <w:tc>
          <w:tcPr>
            <w:tcW w:w="912" w:type="pct"/>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14:paraId="79C2587F" w14:textId="77777777" w:rsidR="00B86571" w:rsidRDefault="00000000">
            <w:pPr>
              <w:jc w:val="center"/>
              <w:textAlignment w:val="center"/>
              <w:rPr>
                <w:b/>
                <w:bCs/>
                <w:color w:val="000000"/>
                <w:kern w:val="0"/>
                <w:szCs w:val="21"/>
              </w:rPr>
            </w:pPr>
            <w:r>
              <w:rPr>
                <w:b/>
                <w:bCs/>
                <w:color w:val="000000"/>
                <w:kern w:val="0"/>
                <w:szCs w:val="21"/>
              </w:rPr>
              <w:t>一级指标</w:t>
            </w:r>
          </w:p>
        </w:tc>
        <w:tc>
          <w:tcPr>
            <w:tcW w:w="791" w:type="pct"/>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14:paraId="2FC9E9A3" w14:textId="77777777" w:rsidR="00B86571" w:rsidRDefault="00000000">
            <w:pPr>
              <w:jc w:val="center"/>
              <w:textAlignment w:val="center"/>
              <w:rPr>
                <w:b/>
                <w:bCs/>
                <w:color w:val="000000"/>
                <w:kern w:val="0"/>
                <w:szCs w:val="21"/>
              </w:rPr>
            </w:pPr>
            <w:r>
              <w:rPr>
                <w:b/>
                <w:bCs/>
                <w:color w:val="000000"/>
                <w:kern w:val="0"/>
                <w:szCs w:val="21"/>
              </w:rPr>
              <w:t>二级指标</w:t>
            </w:r>
          </w:p>
        </w:tc>
        <w:tc>
          <w:tcPr>
            <w:tcW w:w="527" w:type="pct"/>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14:paraId="7014E276" w14:textId="77777777" w:rsidR="00B86571" w:rsidRDefault="00000000">
            <w:pPr>
              <w:jc w:val="center"/>
              <w:textAlignment w:val="center"/>
              <w:rPr>
                <w:b/>
                <w:bCs/>
                <w:color w:val="000000"/>
                <w:kern w:val="0"/>
                <w:szCs w:val="21"/>
              </w:rPr>
            </w:pPr>
            <w:r>
              <w:rPr>
                <w:b/>
                <w:bCs/>
                <w:color w:val="000000"/>
                <w:kern w:val="0"/>
                <w:szCs w:val="21"/>
              </w:rPr>
              <w:t>分值</w:t>
            </w:r>
          </w:p>
        </w:tc>
        <w:tc>
          <w:tcPr>
            <w:tcW w:w="2325" w:type="pct"/>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14:paraId="6C40B74F" w14:textId="77777777" w:rsidR="00B86571" w:rsidRDefault="00000000">
            <w:pPr>
              <w:jc w:val="center"/>
              <w:textAlignment w:val="center"/>
              <w:rPr>
                <w:b/>
                <w:bCs/>
                <w:color w:val="000000"/>
                <w:kern w:val="0"/>
                <w:szCs w:val="21"/>
              </w:rPr>
            </w:pPr>
            <w:r>
              <w:rPr>
                <w:b/>
                <w:bCs/>
                <w:color w:val="000000"/>
                <w:kern w:val="0"/>
                <w:szCs w:val="21"/>
              </w:rPr>
              <w:t>三级指标</w:t>
            </w:r>
          </w:p>
        </w:tc>
        <w:tc>
          <w:tcPr>
            <w:tcW w:w="442" w:type="pct"/>
            <w:tcBorders>
              <w:top w:val="single" w:sz="4" w:space="0" w:color="000000"/>
              <w:left w:val="single" w:sz="4" w:space="0" w:color="000000"/>
              <w:bottom w:val="single" w:sz="4" w:space="0" w:color="auto"/>
              <w:right w:val="single" w:sz="4" w:space="0" w:color="000000"/>
            </w:tcBorders>
            <w:shd w:val="clear" w:color="auto" w:fill="D8D8D8" w:themeFill="background1" w:themeFillShade="D8"/>
            <w:vAlign w:val="center"/>
          </w:tcPr>
          <w:p w14:paraId="09C54804" w14:textId="77777777" w:rsidR="00B86571" w:rsidRDefault="00000000">
            <w:pPr>
              <w:jc w:val="center"/>
              <w:textAlignment w:val="center"/>
              <w:rPr>
                <w:b/>
                <w:bCs/>
                <w:color w:val="000000"/>
                <w:kern w:val="0"/>
                <w:szCs w:val="21"/>
              </w:rPr>
            </w:pPr>
            <w:r>
              <w:rPr>
                <w:b/>
                <w:bCs/>
                <w:color w:val="000000"/>
                <w:kern w:val="0"/>
                <w:szCs w:val="21"/>
              </w:rPr>
              <w:t>分值</w:t>
            </w:r>
          </w:p>
        </w:tc>
      </w:tr>
      <w:tr w:rsidR="00B86571" w14:paraId="55798357" w14:textId="77777777">
        <w:trPr>
          <w:trHeight w:hRule="exact" w:val="397"/>
          <w:jc w:val="center"/>
        </w:trPr>
        <w:tc>
          <w:tcPr>
            <w:tcW w:w="91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46AC8C" w14:textId="77777777" w:rsidR="00B86571" w:rsidRDefault="00000000">
            <w:pPr>
              <w:jc w:val="center"/>
              <w:textAlignment w:val="center"/>
              <w:rPr>
                <w:color w:val="000000"/>
                <w:szCs w:val="21"/>
              </w:rPr>
            </w:pPr>
            <w:r>
              <w:rPr>
                <w:color w:val="000000"/>
                <w:kern w:val="0"/>
                <w:szCs w:val="21"/>
                <w:lang w:bidi="ar"/>
              </w:rPr>
              <w:t>决策（</w:t>
            </w:r>
            <w:r>
              <w:rPr>
                <w:color w:val="000000"/>
                <w:kern w:val="0"/>
                <w:szCs w:val="21"/>
                <w:lang w:bidi="ar"/>
              </w:rPr>
              <w:t>10</w:t>
            </w:r>
            <w:r>
              <w:rPr>
                <w:color w:val="000000"/>
                <w:kern w:val="0"/>
                <w:szCs w:val="21"/>
                <w:lang w:bidi="ar"/>
              </w:rPr>
              <w:t>分）</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565C63"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项目立项</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232099"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3</w:t>
            </w:r>
          </w:p>
        </w:tc>
        <w:tc>
          <w:tcPr>
            <w:tcW w:w="2325" w:type="pct"/>
            <w:tcBorders>
              <w:top w:val="single" w:sz="4" w:space="0" w:color="auto"/>
              <w:left w:val="single" w:sz="4" w:space="0" w:color="auto"/>
              <w:bottom w:val="single" w:sz="4" w:space="0" w:color="auto"/>
              <w:right w:val="single" w:sz="4" w:space="0" w:color="auto"/>
            </w:tcBorders>
            <w:shd w:val="clear" w:color="auto" w:fill="FFFFFF"/>
            <w:vAlign w:val="center"/>
          </w:tcPr>
          <w:p w14:paraId="31A6773B"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立项依据充分性</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5A38F0C4"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2</w:t>
            </w:r>
          </w:p>
        </w:tc>
      </w:tr>
      <w:tr w:rsidR="00B86571" w14:paraId="42377047"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1B08F47"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D755522" w14:textId="77777777" w:rsidR="00B86571" w:rsidRDefault="00B86571">
            <w:pPr>
              <w:jc w:val="center"/>
              <w:rPr>
                <w:color w:val="000000"/>
                <w:szCs w:val="21"/>
              </w:rPr>
            </w:pPr>
          </w:p>
        </w:tc>
        <w:tc>
          <w:tcPr>
            <w:tcW w:w="52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94FD7FC" w14:textId="77777777" w:rsidR="00B86571" w:rsidRDefault="00B86571">
            <w:pPr>
              <w:jc w:val="center"/>
              <w:rPr>
                <w:color w:val="000000"/>
                <w:szCs w:val="21"/>
              </w:rPr>
            </w:pPr>
          </w:p>
        </w:tc>
        <w:tc>
          <w:tcPr>
            <w:tcW w:w="2325" w:type="pct"/>
            <w:tcBorders>
              <w:top w:val="single" w:sz="4" w:space="0" w:color="auto"/>
              <w:left w:val="single" w:sz="4" w:space="0" w:color="auto"/>
              <w:bottom w:val="single" w:sz="4" w:space="0" w:color="auto"/>
              <w:right w:val="single" w:sz="4" w:space="0" w:color="auto"/>
            </w:tcBorders>
            <w:shd w:val="clear" w:color="auto" w:fill="FFFFFF"/>
            <w:vAlign w:val="center"/>
          </w:tcPr>
          <w:p w14:paraId="071DC833"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立项程序规范性</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1C960480"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1</w:t>
            </w:r>
          </w:p>
        </w:tc>
      </w:tr>
      <w:tr w:rsidR="00B86571" w14:paraId="3D70C39E"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3DB1C19" w14:textId="77777777" w:rsidR="00B86571" w:rsidRDefault="00B86571">
            <w:pPr>
              <w:jc w:val="center"/>
              <w:textAlignment w:val="center"/>
              <w:rPr>
                <w:color w:val="000000"/>
                <w:szCs w:val="21"/>
              </w:rPr>
            </w:pPr>
          </w:p>
        </w:tc>
        <w:tc>
          <w:tcPr>
            <w:tcW w:w="7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D1CFC9"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绩效目标</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1D30A7"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4</w:t>
            </w:r>
          </w:p>
        </w:tc>
        <w:tc>
          <w:tcPr>
            <w:tcW w:w="2325" w:type="pct"/>
            <w:tcBorders>
              <w:top w:val="single" w:sz="4" w:space="0" w:color="auto"/>
              <w:left w:val="single" w:sz="4" w:space="0" w:color="auto"/>
              <w:bottom w:val="single" w:sz="4" w:space="0" w:color="auto"/>
              <w:right w:val="single" w:sz="4" w:space="0" w:color="auto"/>
            </w:tcBorders>
            <w:shd w:val="clear" w:color="auto" w:fill="FFFFFF"/>
            <w:vAlign w:val="center"/>
          </w:tcPr>
          <w:p w14:paraId="35E06051"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绩效目标合理性</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7BDBE1C2"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2</w:t>
            </w:r>
          </w:p>
        </w:tc>
      </w:tr>
      <w:tr w:rsidR="00B86571" w14:paraId="0ABA5D30"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A0D4CDB"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B4A39D6" w14:textId="77777777" w:rsidR="00B86571" w:rsidRDefault="00B86571">
            <w:pPr>
              <w:jc w:val="center"/>
              <w:rPr>
                <w:color w:val="000000"/>
                <w:szCs w:val="21"/>
              </w:rPr>
            </w:pPr>
          </w:p>
        </w:tc>
        <w:tc>
          <w:tcPr>
            <w:tcW w:w="52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9999D22" w14:textId="77777777" w:rsidR="00B86571" w:rsidRDefault="00B86571">
            <w:pPr>
              <w:jc w:val="center"/>
              <w:rPr>
                <w:color w:val="000000"/>
                <w:szCs w:val="21"/>
              </w:rPr>
            </w:pPr>
          </w:p>
        </w:tc>
        <w:tc>
          <w:tcPr>
            <w:tcW w:w="2325" w:type="pct"/>
            <w:tcBorders>
              <w:top w:val="single" w:sz="4" w:space="0" w:color="auto"/>
              <w:left w:val="single" w:sz="4" w:space="0" w:color="auto"/>
              <w:bottom w:val="single" w:sz="4" w:space="0" w:color="auto"/>
              <w:right w:val="single" w:sz="4" w:space="0" w:color="auto"/>
            </w:tcBorders>
            <w:shd w:val="clear" w:color="auto" w:fill="FFFFFF"/>
            <w:vAlign w:val="center"/>
          </w:tcPr>
          <w:p w14:paraId="252E0BC0"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绩效指标明确性</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72859BE4"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2</w:t>
            </w:r>
          </w:p>
        </w:tc>
      </w:tr>
      <w:tr w:rsidR="00B86571" w14:paraId="77EEFD72"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A95A885" w14:textId="77777777" w:rsidR="00B86571" w:rsidRDefault="00B86571">
            <w:pPr>
              <w:jc w:val="center"/>
              <w:textAlignment w:val="center"/>
              <w:rPr>
                <w:color w:val="000000"/>
                <w:szCs w:val="21"/>
              </w:rPr>
            </w:pP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6EC4FE"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资金投入</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8137A"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3</w:t>
            </w: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7D5FE291"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预算编制科学性</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283DE2B"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2</w:t>
            </w:r>
          </w:p>
        </w:tc>
      </w:tr>
      <w:tr w:rsidR="00B86571" w14:paraId="7AE32416"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67DF8D9"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C06F2E" w14:textId="77777777" w:rsidR="00B86571" w:rsidRDefault="00B86571">
            <w:pPr>
              <w:jc w:val="center"/>
              <w:rPr>
                <w:color w:val="000000"/>
                <w:szCs w:val="21"/>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760316" w14:textId="77777777" w:rsidR="00B86571" w:rsidRDefault="00B86571">
            <w:pPr>
              <w:jc w:val="center"/>
              <w:rPr>
                <w:color w:val="000000"/>
                <w:szCs w:val="21"/>
              </w:rPr>
            </w:pP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286158DB"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资金分配合理性</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99A98C2"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1</w:t>
            </w:r>
          </w:p>
        </w:tc>
      </w:tr>
      <w:tr w:rsidR="00B86571" w14:paraId="3C474B57" w14:textId="77777777">
        <w:trPr>
          <w:trHeight w:hRule="exact" w:val="397"/>
          <w:jc w:val="center"/>
        </w:trPr>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EC697C" w14:textId="77777777" w:rsidR="00B86571" w:rsidRDefault="00000000">
            <w:pPr>
              <w:jc w:val="center"/>
              <w:textAlignment w:val="center"/>
              <w:rPr>
                <w:color w:val="000000"/>
                <w:szCs w:val="21"/>
              </w:rPr>
            </w:pPr>
            <w:r>
              <w:rPr>
                <w:color w:val="000000"/>
                <w:kern w:val="0"/>
                <w:szCs w:val="21"/>
                <w:lang w:bidi="ar"/>
              </w:rPr>
              <w:t>过程（</w:t>
            </w:r>
            <w:r>
              <w:rPr>
                <w:color w:val="000000"/>
                <w:kern w:val="0"/>
                <w:szCs w:val="21"/>
                <w:lang w:bidi="ar"/>
              </w:rPr>
              <w:t>20</w:t>
            </w:r>
            <w:r>
              <w:rPr>
                <w:color w:val="000000"/>
                <w:kern w:val="0"/>
                <w:szCs w:val="21"/>
                <w:lang w:bidi="ar"/>
              </w:rPr>
              <w:t>分）</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979FDF"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资金管理</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D2885"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10</w:t>
            </w: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7C684F7A"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资金到位率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8BE015E"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2</w:t>
            </w:r>
          </w:p>
        </w:tc>
      </w:tr>
      <w:tr w:rsidR="00B86571" w14:paraId="04FF998F"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221A6E"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5CAEED" w14:textId="77777777" w:rsidR="00B86571" w:rsidRDefault="00B86571">
            <w:pPr>
              <w:widowControl/>
              <w:jc w:val="center"/>
              <w:textAlignment w:val="center"/>
              <w:rPr>
                <w:color w:val="000000"/>
                <w:szCs w:val="21"/>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AF8015" w14:textId="77777777" w:rsidR="00B86571" w:rsidRDefault="00B86571">
            <w:pPr>
              <w:widowControl/>
              <w:jc w:val="center"/>
              <w:textAlignment w:val="center"/>
              <w:rPr>
                <w:color w:val="000000"/>
                <w:szCs w:val="21"/>
              </w:rPr>
            </w:pP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4AD17221"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预算执行率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0144749"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4</w:t>
            </w:r>
          </w:p>
        </w:tc>
      </w:tr>
      <w:tr w:rsidR="00B86571" w14:paraId="27796708"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B2B4DA"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D0E7FC" w14:textId="77777777" w:rsidR="00B86571" w:rsidRDefault="00B86571">
            <w:pPr>
              <w:jc w:val="center"/>
              <w:rPr>
                <w:color w:val="000000"/>
                <w:szCs w:val="21"/>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6091C1" w14:textId="77777777" w:rsidR="00B86571" w:rsidRDefault="00B86571">
            <w:pPr>
              <w:jc w:val="center"/>
              <w:rPr>
                <w:color w:val="000000"/>
                <w:szCs w:val="21"/>
              </w:rPr>
            </w:pP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76C45F78"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资金使用合规性</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68F6DEF"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4</w:t>
            </w:r>
          </w:p>
        </w:tc>
      </w:tr>
      <w:tr w:rsidR="00B86571" w14:paraId="0CCBC6D9"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726563" w14:textId="77777777" w:rsidR="00B86571" w:rsidRDefault="00B86571">
            <w:pPr>
              <w:jc w:val="center"/>
              <w:textAlignment w:val="center"/>
              <w:rPr>
                <w:color w:val="000000"/>
                <w:szCs w:val="21"/>
              </w:rPr>
            </w:pP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A86BBD"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组织实施</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3A3DB4" w14:textId="77777777" w:rsidR="00B86571" w:rsidRDefault="00000000">
            <w:pPr>
              <w:widowControl/>
              <w:jc w:val="center"/>
              <w:textAlignment w:val="center"/>
              <w:rPr>
                <w:color w:val="000000"/>
                <w:szCs w:val="21"/>
              </w:rPr>
            </w:pPr>
            <w:r>
              <w:rPr>
                <w:rFonts w:ascii="宋体" w:hAnsi="宋体" w:cs="宋体" w:hint="eastAsia"/>
                <w:color w:val="000000"/>
                <w:kern w:val="0"/>
                <w:sz w:val="22"/>
                <w:szCs w:val="22"/>
                <w:lang w:bidi="ar"/>
              </w:rPr>
              <w:t>10</w:t>
            </w: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175DE89A"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管理制度健全性</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8B116FE"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5</w:t>
            </w:r>
          </w:p>
        </w:tc>
      </w:tr>
      <w:tr w:rsidR="00B86571" w14:paraId="3B7D47C5"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982BA2"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CE8D30" w14:textId="77777777" w:rsidR="00B86571" w:rsidRDefault="00B86571">
            <w:pPr>
              <w:jc w:val="center"/>
              <w:rPr>
                <w:color w:val="000000"/>
                <w:szCs w:val="21"/>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0B5223" w14:textId="77777777" w:rsidR="00B86571" w:rsidRDefault="00B86571">
            <w:pPr>
              <w:jc w:val="center"/>
              <w:rPr>
                <w:color w:val="000000"/>
                <w:szCs w:val="21"/>
              </w:rPr>
            </w:pP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685AFD00"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制度执行有效性</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5A8E59C"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5</w:t>
            </w:r>
          </w:p>
        </w:tc>
      </w:tr>
      <w:tr w:rsidR="00B86571" w14:paraId="52FE881C" w14:textId="77777777">
        <w:trPr>
          <w:trHeight w:hRule="exact" w:val="397"/>
          <w:jc w:val="center"/>
        </w:trPr>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372FF3" w14:textId="77777777" w:rsidR="00B86571" w:rsidRDefault="00000000">
            <w:pPr>
              <w:jc w:val="center"/>
              <w:textAlignment w:val="center"/>
              <w:rPr>
                <w:color w:val="000000"/>
                <w:kern w:val="0"/>
                <w:szCs w:val="21"/>
                <w:lang w:bidi="ar"/>
              </w:rPr>
            </w:pPr>
            <w:r>
              <w:rPr>
                <w:color w:val="000000"/>
                <w:kern w:val="0"/>
                <w:szCs w:val="21"/>
                <w:lang w:bidi="ar"/>
              </w:rPr>
              <w:t>产出（</w:t>
            </w:r>
            <w:r>
              <w:rPr>
                <w:color w:val="000000"/>
                <w:kern w:val="0"/>
                <w:szCs w:val="21"/>
                <w:lang w:bidi="ar"/>
              </w:rPr>
              <w:t>40</w:t>
            </w:r>
            <w:r>
              <w:rPr>
                <w:color w:val="000000"/>
                <w:kern w:val="0"/>
                <w:szCs w:val="21"/>
                <w:lang w:bidi="ar"/>
              </w:rPr>
              <w:t>分）</w:t>
            </w:r>
          </w:p>
          <w:p w14:paraId="70375FE1" w14:textId="77777777" w:rsidR="00B86571" w:rsidRDefault="00B86571">
            <w:pPr>
              <w:jc w:val="center"/>
              <w:textAlignment w:val="center"/>
              <w:rPr>
                <w:color w:val="000000"/>
                <w:szCs w:val="21"/>
              </w:rPr>
            </w:pP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663C71"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产出数量</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297EB6"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12</w:t>
            </w: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7AEEE6C7"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人才培养情况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A185841"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3</w:t>
            </w:r>
          </w:p>
        </w:tc>
      </w:tr>
      <w:tr w:rsidR="00B86571" w14:paraId="748FBB6F"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B8737D"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3349AC" w14:textId="77777777" w:rsidR="00B86571" w:rsidRDefault="00B86571">
            <w:pPr>
              <w:jc w:val="center"/>
              <w:rPr>
                <w:color w:val="000000"/>
                <w:kern w:val="0"/>
                <w:szCs w:val="21"/>
                <w:lang w:bidi="ar"/>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9DF4FF" w14:textId="77777777" w:rsidR="00B86571" w:rsidRDefault="00B86571">
            <w:pPr>
              <w:jc w:val="center"/>
              <w:rPr>
                <w:color w:val="000000"/>
                <w:kern w:val="0"/>
                <w:szCs w:val="21"/>
                <w:lang w:bidi="ar"/>
              </w:rPr>
            </w:pP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4CCCA63D"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开展新技术情况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2125690"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3</w:t>
            </w:r>
          </w:p>
        </w:tc>
      </w:tr>
      <w:tr w:rsidR="00B86571" w14:paraId="7181927C"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168B75"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F0E458" w14:textId="77777777" w:rsidR="00B86571" w:rsidRDefault="00B86571">
            <w:pPr>
              <w:jc w:val="center"/>
              <w:rPr>
                <w:color w:val="000000"/>
                <w:kern w:val="0"/>
                <w:szCs w:val="21"/>
                <w:lang w:bidi="ar"/>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74B978" w14:textId="77777777" w:rsidR="00B86571" w:rsidRDefault="00B86571">
            <w:pPr>
              <w:jc w:val="center"/>
              <w:rPr>
                <w:color w:val="000000"/>
                <w:kern w:val="0"/>
                <w:szCs w:val="21"/>
                <w:lang w:bidi="ar"/>
              </w:rPr>
            </w:pP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7CFBFE98"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开展项目情况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A62F5EE"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3</w:t>
            </w:r>
          </w:p>
        </w:tc>
      </w:tr>
      <w:tr w:rsidR="00B86571" w14:paraId="4651468F"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DD95E3"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CBDC3C" w14:textId="77777777" w:rsidR="00B86571" w:rsidRDefault="00B86571">
            <w:pPr>
              <w:jc w:val="center"/>
              <w:rPr>
                <w:color w:val="000000"/>
                <w:kern w:val="0"/>
                <w:szCs w:val="21"/>
                <w:lang w:bidi="ar"/>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CCE187" w14:textId="77777777" w:rsidR="00B86571" w:rsidRDefault="00B86571">
            <w:pPr>
              <w:jc w:val="center"/>
              <w:rPr>
                <w:color w:val="000000"/>
                <w:kern w:val="0"/>
                <w:szCs w:val="21"/>
                <w:lang w:bidi="ar"/>
              </w:rPr>
            </w:pP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5AF50249"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设备购置情况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465894F"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3</w:t>
            </w:r>
          </w:p>
        </w:tc>
      </w:tr>
      <w:tr w:rsidR="00B86571" w14:paraId="3C6D6BC5"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0CB1E5" w14:textId="77777777" w:rsidR="00B86571" w:rsidRDefault="00B86571">
            <w:pPr>
              <w:jc w:val="center"/>
              <w:textAlignment w:val="center"/>
              <w:rPr>
                <w:color w:val="000000"/>
                <w:szCs w:val="21"/>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15EC7"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产出质量</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DE82A"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10</w:t>
            </w: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79704E13"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项目质量达标情况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4701F4B"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10</w:t>
            </w:r>
          </w:p>
        </w:tc>
      </w:tr>
      <w:tr w:rsidR="00B86571" w14:paraId="3841D8FF"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CC3125" w14:textId="77777777" w:rsidR="00B86571" w:rsidRDefault="00B86571">
            <w:pPr>
              <w:jc w:val="center"/>
              <w:textAlignment w:val="center"/>
              <w:rPr>
                <w:color w:val="000000"/>
                <w:szCs w:val="21"/>
              </w:rPr>
            </w:pP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62458"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产出时效</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D1DE2"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10</w:t>
            </w: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6EE03FBD"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完成及时性</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BFA314B"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10</w:t>
            </w:r>
          </w:p>
        </w:tc>
      </w:tr>
      <w:tr w:rsidR="00B86571" w14:paraId="14BC53A6"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2E84CE" w14:textId="77777777" w:rsidR="00B86571" w:rsidRDefault="00B86571">
            <w:pPr>
              <w:jc w:val="center"/>
              <w:textAlignment w:val="center"/>
              <w:rPr>
                <w:color w:val="000000"/>
                <w:szCs w:val="21"/>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00A9A855"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产出成本</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AB8206"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8</w:t>
            </w:r>
          </w:p>
        </w:tc>
        <w:tc>
          <w:tcPr>
            <w:tcW w:w="2325" w:type="pct"/>
            <w:tcBorders>
              <w:top w:val="single" w:sz="4" w:space="0" w:color="auto"/>
              <w:left w:val="single" w:sz="4" w:space="0" w:color="auto"/>
              <w:bottom w:val="single" w:sz="4" w:space="0" w:color="auto"/>
              <w:right w:val="single" w:sz="4" w:space="0" w:color="auto"/>
            </w:tcBorders>
            <w:shd w:val="clear" w:color="auto" w:fill="auto"/>
            <w:vAlign w:val="center"/>
          </w:tcPr>
          <w:p w14:paraId="59A7DC0C"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成本控制情况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7B1A2B9"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8</w:t>
            </w:r>
          </w:p>
        </w:tc>
      </w:tr>
      <w:tr w:rsidR="00B86571" w14:paraId="0594FA0F" w14:textId="77777777">
        <w:trPr>
          <w:trHeight w:hRule="exact" w:val="397"/>
          <w:jc w:val="center"/>
        </w:trPr>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C2E0" w14:textId="77777777" w:rsidR="00B86571" w:rsidRDefault="00000000">
            <w:pPr>
              <w:jc w:val="center"/>
              <w:textAlignment w:val="center"/>
              <w:rPr>
                <w:color w:val="000000"/>
                <w:szCs w:val="21"/>
              </w:rPr>
            </w:pPr>
            <w:r>
              <w:rPr>
                <w:color w:val="000000"/>
                <w:kern w:val="0"/>
                <w:szCs w:val="21"/>
                <w:lang w:bidi="ar"/>
              </w:rPr>
              <w:t>效益（</w:t>
            </w:r>
            <w:r>
              <w:rPr>
                <w:color w:val="000000"/>
                <w:kern w:val="0"/>
                <w:szCs w:val="21"/>
                <w:lang w:bidi="ar"/>
              </w:rPr>
              <w:t>30</w:t>
            </w:r>
            <w:r>
              <w:rPr>
                <w:color w:val="000000"/>
                <w:kern w:val="0"/>
                <w:szCs w:val="21"/>
                <w:lang w:bidi="ar"/>
              </w:rPr>
              <w:t>分）</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FDCE5C"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社会效益</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E2881A"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10</w:t>
            </w:r>
          </w:p>
        </w:tc>
        <w:tc>
          <w:tcPr>
            <w:tcW w:w="2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BF767"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减少重点专病异地就医</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F1FD5"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5</w:t>
            </w:r>
          </w:p>
        </w:tc>
      </w:tr>
      <w:tr w:rsidR="00B86571" w14:paraId="54D47885"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49D675" w14:textId="77777777" w:rsidR="00B86571" w:rsidRDefault="00B86571">
            <w:pPr>
              <w:jc w:val="center"/>
              <w:textAlignment w:val="center"/>
              <w:rPr>
                <w:color w:val="000000"/>
                <w:szCs w:val="21"/>
              </w:rPr>
            </w:pPr>
            <w:bookmarkStart w:id="13" w:name="_Toc80630768"/>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B52B83" w14:textId="77777777" w:rsidR="00B86571" w:rsidRDefault="00B86571">
            <w:pPr>
              <w:jc w:val="center"/>
              <w:rPr>
                <w:color w:val="000000"/>
                <w:kern w:val="0"/>
                <w:szCs w:val="21"/>
                <w:lang w:bidi="ar"/>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52EE5F" w14:textId="77777777" w:rsidR="00B86571" w:rsidRDefault="00B86571">
            <w:pPr>
              <w:jc w:val="center"/>
              <w:rPr>
                <w:color w:val="000000"/>
                <w:kern w:val="0"/>
                <w:szCs w:val="21"/>
                <w:lang w:bidi="ar"/>
              </w:rPr>
            </w:pPr>
          </w:p>
        </w:tc>
        <w:tc>
          <w:tcPr>
            <w:tcW w:w="2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F8BAE"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加强天坛医院河南医院人才培养</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E4B88"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5</w:t>
            </w:r>
          </w:p>
        </w:tc>
      </w:tr>
      <w:tr w:rsidR="00B86571" w14:paraId="465C8540" w14:textId="77777777">
        <w:trPr>
          <w:trHeight w:hRule="exact" w:val="822"/>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207788" w14:textId="77777777" w:rsidR="00B86571" w:rsidRDefault="00B86571">
            <w:pPr>
              <w:jc w:val="center"/>
              <w:textAlignment w:val="center"/>
              <w:rPr>
                <w:color w:val="000000"/>
                <w:szCs w:val="21"/>
              </w:rPr>
            </w:pP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687DA"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可持续影响</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E6A251"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10</w:t>
            </w:r>
          </w:p>
        </w:tc>
        <w:tc>
          <w:tcPr>
            <w:tcW w:w="2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DDB64"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提升天坛医院河南医院医疗服务与保障能力</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63643"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5</w:t>
            </w:r>
          </w:p>
        </w:tc>
      </w:tr>
      <w:tr w:rsidR="00B86571" w14:paraId="34D9E512" w14:textId="77777777">
        <w:trPr>
          <w:trHeight w:hRule="exact" w:val="397"/>
          <w:jc w:val="center"/>
        </w:trPr>
        <w:tc>
          <w:tcPr>
            <w:tcW w:w="9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70CB14"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2BAE83" w14:textId="77777777" w:rsidR="00B86571" w:rsidRDefault="00B86571">
            <w:pPr>
              <w:jc w:val="center"/>
              <w:rPr>
                <w:color w:val="000000"/>
                <w:kern w:val="0"/>
                <w:szCs w:val="21"/>
                <w:lang w:bidi="ar"/>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D28ECF" w14:textId="77777777" w:rsidR="00B86571" w:rsidRDefault="00B86571">
            <w:pPr>
              <w:jc w:val="center"/>
              <w:rPr>
                <w:color w:val="000000"/>
                <w:kern w:val="0"/>
                <w:szCs w:val="21"/>
                <w:lang w:bidi="ar"/>
              </w:rPr>
            </w:pPr>
          </w:p>
        </w:tc>
        <w:tc>
          <w:tcPr>
            <w:tcW w:w="2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D9663"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推动优质医疗资源区域均衡布局</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EF8C1"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5</w:t>
            </w:r>
          </w:p>
        </w:tc>
      </w:tr>
      <w:tr w:rsidR="00B86571" w14:paraId="342DADCA" w14:textId="77777777">
        <w:trPr>
          <w:trHeight w:hRule="exact" w:val="397"/>
          <w:jc w:val="center"/>
        </w:trPr>
        <w:tc>
          <w:tcPr>
            <w:tcW w:w="912" w:type="pct"/>
            <w:vMerge w:val="restart"/>
            <w:tcBorders>
              <w:top w:val="single" w:sz="4" w:space="0" w:color="auto"/>
              <w:left w:val="single" w:sz="4" w:space="0" w:color="auto"/>
              <w:right w:val="single" w:sz="4" w:space="0" w:color="auto"/>
            </w:tcBorders>
            <w:shd w:val="clear" w:color="auto" w:fill="auto"/>
            <w:vAlign w:val="center"/>
          </w:tcPr>
          <w:p w14:paraId="2635BF07" w14:textId="77777777" w:rsidR="00B86571" w:rsidRDefault="00000000">
            <w:pPr>
              <w:jc w:val="center"/>
              <w:textAlignment w:val="center"/>
              <w:rPr>
                <w:color w:val="000000"/>
                <w:szCs w:val="21"/>
              </w:rPr>
            </w:pPr>
            <w:r>
              <w:rPr>
                <w:rFonts w:hint="eastAsia"/>
                <w:color w:val="000000"/>
                <w:szCs w:val="21"/>
              </w:rPr>
              <w:t>续上页</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EE4110"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满意度指标</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42F4A1" w14:textId="77777777" w:rsidR="00B86571" w:rsidRDefault="00000000">
            <w:pPr>
              <w:widowControl/>
              <w:jc w:val="center"/>
              <w:textAlignment w:val="center"/>
              <w:rPr>
                <w:color w:val="000000"/>
                <w:kern w:val="0"/>
                <w:szCs w:val="21"/>
                <w:lang w:bidi="ar"/>
              </w:rPr>
            </w:pPr>
            <w:r>
              <w:rPr>
                <w:rFonts w:ascii="宋体" w:hAnsi="宋体" w:cs="宋体" w:hint="eastAsia"/>
                <w:color w:val="000000"/>
                <w:kern w:val="0"/>
                <w:sz w:val="22"/>
                <w:szCs w:val="22"/>
                <w:lang w:bidi="ar"/>
              </w:rPr>
              <w:t>10</w:t>
            </w:r>
          </w:p>
        </w:tc>
        <w:tc>
          <w:tcPr>
            <w:tcW w:w="2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F9B07" w14:textId="77777777" w:rsidR="00B8657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天坛医院河南医院医患者满意度</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B53E0" w14:textId="77777777" w:rsidR="00B8657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r>
      <w:tr w:rsidR="00B86571" w14:paraId="4BE07B5D" w14:textId="77777777">
        <w:trPr>
          <w:trHeight w:hRule="exact" w:val="397"/>
          <w:jc w:val="center"/>
        </w:trPr>
        <w:tc>
          <w:tcPr>
            <w:tcW w:w="912" w:type="pct"/>
            <w:vMerge/>
            <w:tcBorders>
              <w:left w:val="single" w:sz="4" w:space="0" w:color="auto"/>
              <w:bottom w:val="single" w:sz="4" w:space="0" w:color="auto"/>
              <w:right w:val="single" w:sz="4" w:space="0" w:color="auto"/>
            </w:tcBorders>
            <w:shd w:val="clear" w:color="auto" w:fill="auto"/>
            <w:vAlign w:val="center"/>
          </w:tcPr>
          <w:p w14:paraId="5770EA22" w14:textId="77777777" w:rsidR="00B86571" w:rsidRDefault="00B86571">
            <w:pPr>
              <w:jc w:val="center"/>
              <w:textAlignment w:val="center"/>
              <w:rPr>
                <w:color w:val="000000"/>
                <w:szCs w:val="21"/>
              </w:rPr>
            </w:pPr>
          </w:p>
        </w:tc>
        <w:tc>
          <w:tcPr>
            <w:tcW w:w="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D30CB2" w14:textId="77777777" w:rsidR="00B86571" w:rsidRDefault="00B86571">
            <w:pPr>
              <w:jc w:val="center"/>
              <w:rPr>
                <w:color w:val="000000"/>
                <w:kern w:val="0"/>
                <w:szCs w:val="21"/>
                <w:lang w:bidi="ar"/>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9AC32F" w14:textId="77777777" w:rsidR="00B86571" w:rsidRDefault="00B86571">
            <w:pPr>
              <w:jc w:val="center"/>
              <w:rPr>
                <w:color w:val="000000"/>
                <w:kern w:val="0"/>
                <w:szCs w:val="21"/>
                <w:lang w:bidi="ar"/>
              </w:rPr>
            </w:pPr>
          </w:p>
        </w:tc>
        <w:tc>
          <w:tcPr>
            <w:tcW w:w="2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B698" w14:textId="77777777" w:rsidR="00B8657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北京天坛医院医务人员满意度</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FBADD" w14:textId="77777777" w:rsidR="00B86571"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r>
    </w:tbl>
    <w:bookmarkEnd w:id="13"/>
    <w:p w14:paraId="7DE978C5" w14:textId="77777777" w:rsidR="00B86571" w:rsidRDefault="00000000">
      <w:pPr>
        <w:spacing w:line="560" w:lineRule="exact"/>
        <w:ind w:firstLineChars="200" w:firstLine="640"/>
        <w:textAlignment w:val="center"/>
        <w:outlineLvl w:val="2"/>
        <w:rPr>
          <w:rFonts w:eastAsia="仿宋_GB2312"/>
          <w:color w:val="000000"/>
          <w:kern w:val="0"/>
          <w:sz w:val="32"/>
          <w:szCs w:val="32"/>
          <w:lang w:eastAsia="zh-Hans"/>
        </w:rPr>
      </w:pPr>
      <w:r>
        <w:rPr>
          <w:rFonts w:eastAsia="仿宋_GB2312"/>
          <w:color w:val="000000"/>
          <w:kern w:val="0"/>
          <w:sz w:val="32"/>
          <w:szCs w:val="32"/>
        </w:rPr>
        <w:t>3.</w:t>
      </w:r>
      <w:r>
        <w:rPr>
          <w:rFonts w:eastAsia="仿宋_GB2312" w:hint="eastAsia"/>
          <w:color w:val="000000"/>
          <w:kern w:val="0"/>
          <w:sz w:val="32"/>
          <w:szCs w:val="32"/>
          <w:lang w:eastAsia="zh-Hans"/>
        </w:rPr>
        <w:t>评价标准</w:t>
      </w:r>
    </w:p>
    <w:p w14:paraId="00CB238B"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评价工作组以投入产出分析为基本方法，通过建立综合评价指标体系，参考历史数据及绩效评价等级要求确定评分标准，对</w:t>
      </w:r>
      <w:r>
        <w:rPr>
          <w:rFonts w:eastAsia="仿宋_GB2312" w:hint="eastAsia"/>
          <w:sz w:val="32"/>
          <w:szCs w:val="32"/>
        </w:rPr>
        <w:t>天坛医院医疗服务与保障能力提升（第三批）—区域医疗中心补助资金</w:t>
      </w:r>
      <w:r>
        <w:rPr>
          <w:rFonts w:eastAsia="仿宋_GB2312"/>
          <w:sz w:val="32"/>
          <w:szCs w:val="32"/>
        </w:rPr>
        <w:t>的决策、过程、产出、效益情况进行综合评判。</w:t>
      </w:r>
    </w:p>
    <w:p w14:paraId="0C1F3649"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绩效评价结果采取评分和评级相结合的方式，具体分值和等级可根据不同评价内容设定。总分一般设置为</w:t>
      </w:r>
      <w:r>
        <w:rPr>
          <w:rFonts w:eastAsia="仿宋_GB2312"/>
          <w:sz w:val="32"/>
          <w:szCs w:val="32"/>
        </w:rPr>
        <w:t>100</w:t>
      </w:r>
      <w:r>
        <w:rPr>
          <w:rFonts w:eastAsia="仿宋_GB2312"/>
          <w:sz w:val="32"/>
          <w:szCs w:val="32"/>
        </w:rPr>
        <w:t>分，等级一般划分为</w:t>
      </w:r>
      <w:r>
        <w:rPr>
          <w:rFonts w:eastAsia="仿宋_GB2312"/>
          <w:sz w:val="32"/>
          <w:szCs w:val="32"/>
        </w:rPr>
        <w:t>4</w:t>
      </w:r>
      <w:r>
        <w:rPr>
          <w:rFonts w:eastAsia="仿宋_GB2312"/>
          <w:sz w:val="32"/>
          <w:szCs w:val="32"/>
        </w:rPr>
        <w:t>档：</w:t>
      </w:r>
      <w:r>
        <w:rPr>
          <w:rFonts w:eastAsia="仿宋_GB2312"/>
          <w:sz w:val="32"/>
          <w:szCs w:val="32"/>
        </w:rPr>
        <w:t>90</w:t>
      </w:r>
      <w:r>
        <w:rPr>
          <w:rFonts w:eastAsia="仿宋_GB2312"/>
          <w:sz w:val="32"/>
          <w:szCs w:val="32"/>
        </w:rPr>
        <w:t>（含）</w:t>
      </w:r>
      <w:r>
        <w:rPr>
          <w:rFonts w:eastAsia="仿宋_GB2312"/>
          <w:sz w:val="32"/>
          <w:szCs w:val="32"/>
        </w:rPr>
        <w:t>-100</w:t>
      </w:r>
      <w:r>
        <w:rPr>
          <w:rFonts w:eastAsia="仿宋_GB2312"/>
          <w:sz w:val="32"/>
          <w:szCs w:val="32"/>
        </w:rPr>
        <w:t>分为优、</w:t>
      </w:r>
      <w:r>
        <w:rPr>
          <w:rFonts w:eastAsia="仿宋_GB2312"/>
          <w:sz w:val="32"/>
          <w:szCs w:val="32"/>
        </w:rPr>
        <w:t>80</w:t>
      </w:r>
      <w:r>
        <w:rPr>
          <w:rFonts w:eastAsia="仿宋_GB2312"/>
          <w:sz w:val="32"/>
          <w:szCs w:val="32"/>
        </w:rPr>
        <w:t>（含）</w:t>
      </w:r>
      <w:r>
        <w:rPr>
          <w:rFonts w:eastAsia="仿宋_GB2312"/>
          <w:sz w:val="32"/>
          <w:szCs w:val="32"/>
        </w:rPr>
        <w:t>-90</w:t>
      </w:r>
      <w:r>
        <w:rPr>
          <w:rFonts w:eastAsia="仿宋_GB2312"/>
          <w:sz w:val="32"/>
          <w:szCs w:val="32"/>
        </w:rPr>
        <w:t>分为良、</w:t>
      </w:r>
      <w:r>
        <w:rPr>
          <w:rFonts w:eastAsia="仿宋_GB2312"/>
          <w:sz w:val="32"/>
          <w:szCs w:val="32"/>
        </w:rPr>
        <w:t>60</w:t>
      </w:r>
      <w:r>
        <w:rPr>
          <w:rFonts w:eastAsia="仿宋_GB2312"/>
          <w:sz w:val="32"/>
          <w:szCs w:val="32"/>
        </w:rPr>
        <w:t>（含）</w:t>
      </w:r>
      <w:r>
        <w:rPr>
          <w:rFonts w:eastAsia="仿宋_GB2312"/>
          <w:sz w:val="32"/>
          <w:szCs w:val="32"/>
        </w:rPr>
        <w:t>-80</w:t>
      </w:r>
      <w:r>
        <w:rPr>
          <w:rFonts w:eastAsia="仿宋_GB2312"/>
          <w:sz w:val="32"/>
          <w:szCs w:val="32"/>
        </w:rPr>
        <w:t>分为中、</w:t>
      </w:r>
      <w:r>
        <w:rPr>
          <w:rFonts w:eastAsia="仿宋_GB2312"/>
          <w:sz w:val="32"/>
          <w:szCs w:val="32"/>
        </w:rPr>
        <w:t>60</w:t>
      </w:r>
      <w:r>
        <w:rPr>
          <w:rFonts w:eastAsia="仿宋_GB2312"/>
          <w:sz w:val="32"/>
          <w:szCs w:val="32"/>
        </w:rPr>
        <w:t>分以下为差。</w:t>
      </w:r>
    </w:p>
    <w:p w14:paraId="24723722" w14:textId="77777777" w:rsidR="00B86571" w:rsidRDefault="00000000">
      <w:pPr>
        <w:spacing w:line="560" w:lineRule="exact"/>
        <w:ind w:firstLineChars="200" w:firstLine="640"/>
        <w:textAlignment w:val="center"/>
        <w:outlineLvl w:val="1"/>
        <w:rPr>
          <w:rFonts w:eastAsia="楷体"/>
          <w:sz w:val="32"/>
          <w:szCs w:val="32"/>
        </w:rPr>
      </w:pPr>
      <w:bookmarkStart w:id="14" w:name="_Toc11470"/>
      <w:bookmarkStart w:id="15" w:name="_Toc20519"/>
      <w:r>
        <w:rPr>
          <w:rFonts w:eastAsia="楷体"/>
          <w:sz w:val="32"/>
          <w:szCs w:val="32"/>
        </w:rPr>
        <w:t>（</w:t>
      </w:r>
      <w:r>
        <w:rPr>
          <w:rFonts w:eastAsia="楷体" w:hint="eastAsia"/>
          <w:sz w:val="32"/>
          <w:szCs w:val="32"/>
          <w:lang w:eastAsia="zh-Hans"/>
        </w:rPr>
        <w:t>三</w:t>
      </w:r>
      <w:r>
        <w:rPr>
          <w:rFonts w:eastAsia="楷体"/>
          <w:sz w:val="32"/>
          <w:szCs w:val="32"/>
        </w:rPr>
        <w:t>）绩效评价工作过程</w:t>
      </w:r>
      <w:bookmarkEnd w:id="14"/>
      <w:bookmarkEnd w:id="15"/>
    </w:p>
    <w:p w14:paraId="4CB9E390"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前期准备情况</w:t>
      </w:r>
    </w:p>
    <w:p w14:paraId="125BE318" w14:textId="77777777" w:rsidR="00B86571" w:rsidRDefault="00000000">
      <w:pPr>
        <w:pStyle w:val="a0"/>
        <w:spacing w:line="560" w:lineRule="exact"/>
        <w:ind w:firstLineChars="200" w:firstLine="640"/>
        <w:textAlignment w:val="center"/>
        <w:rPr>
          <w:rFonts w:eastAsia="仿宋_GB2312"/>
          <w:sz w:val="32"/>
          <w:szCs w:val="32"/>
        </w:rPr>
      </w:pPr>
      <w:r>
        <w:rPr>
          <w:rFonts w:eastAsia="仿宋_GB2312"/>
          <w:sz w:val="32"/>
          <w:szCs w:val="32"/>
        </w:rPr>
        <w:t>评价工作组于评价前期进行绩效评价工作的内部研讨及培训，制定评价实施方案。</w:t>
      </w:r>
    </w:p>
    <w:p w14:paraId="6A23CE5B"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项目资料审核收集</w:t>
      </w:r>
    </w:p>
    <w:p w14:paraId="7AB07390"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收集和整理项目相关资料，经评价工作组对项目相关数据进行摘录、汇总、分析，拟定项目补充资料清单发送至项目单位。项目单位根据初步评价意见，对需要进一步解释的信息进行说明，在规定时间内提供相关补充资料。</w:t>
      </w:r>
    </w:p>
    <w:p w14:paraId="5E4E5AD7"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hint="eastAsia"/>
          <w:color w:val="000000"/>
          <w:kern w:val="0"/>
          <w:sz w:val="32"/>
          <w:szCs w:val="32"/>
        </w:rPr>
        <w:lastRenderedPageBreak/>
        <w:t>3</w:t>
      </w:r>
      <w:r>
        <w:rPr>
          <w:rFonts w:eastAsia="仿宋_GB2312"/>
          <w:color w:val="000000"/>
          <w:kern w:val="0"/>
          <w:sz w:val="32"/>
          <w:szCs w:val="32"/>
        </w:rPr>
        <w:t>.</w:t>
      </w:r>
      <w:r>
        <w:rPr>
          <w:rFonts w:eastAsia="仿宋_GB2312"/>
          <w:color w:val="000000"/>
          <w:kern w:val="0"/>
          <w:sz w:val="32"/>
          <w:szCs w:val="32"/>
        </w:rPr>
        <w:t>撰写绩效评价报告</w:t>
      </w:r>
    </w:p>
    <w:p w14:paraId="7EFFC9EF"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评价工作组按照规定的文本格式和要求，撰写项目支出绩效评价报告初稿。</w:t>
      </w:r>
      <w:r>
        <w:rPr>
          <w:rFonts w:eastAsia="仿宋_GB2312" w:hint="eastAsia"/>
          <w:sz w:val="32"/>
          <w:szCs w:val="32"/>
        </w:rPr>
        <w:t>与</w:t>
      </w:r>
      <w:r>
        <w:rPr>
          <w:rFonts w:eastAsia="仿宋_GB2312"/>
          <w:sz w:val="32"/>
          <w:szCs w:val="32"/>
        </w:rPr>
        <w:t>项目单位沟通后，形成最终评价报告。</w:t>
      </w:r>
    </w:p>
    <w:p w14:paraId="35F2E23E" w14:textId="77777777" w:rsidR="00B86571" w:rsidRDefault="00000000">
      <w:pPr>
        <w:pStyle w:val="1"/>
        <w:keepNext w:val="0"/>
        <w:keepLines w:val="0"/>
        <w:spacing w:before="0" w:after="0" w:line="560" w:lineRule="exact"/>
        <w:ind w:firstLineChars="200" w:firstLine="640"/>
        <w:contextualSpacing/>
        <w:textAlignment w:val="center"/>
        <w:rPr>
          <w:rFonts w:eastAsia="黑体"/>
          <w:b w:val="0"/>
          <w:kern w:val="0"/>
          <w:sz w:val="32"/>
          <w:szCs w:val="32"/>
          <w:lang w:bidi="en-US"/>
        </w:rPr>
      </w:pPr>
      <w:bookmarkStart w:id="16" w:name="_Toc668"/>
      <w:bookmarkStart w:id="17" w:name="_Toc449"/>
      <w:r>
        <w:rPr>
          <w:rFonts w:eastAsia="黑体" w:hint="eastAsia"/>
          <w:b w:val="0"/>
          <w:kern w:val="0"/>
          <w:sz w:val="32"/>
          <w:szCs w:val="32"/>
          <w:lang w:bidi="en-US"/>
        </w:rPr>
        <w:t>三、综合评价情况及评价结论</w:t>
      </w:r>
      <w:bookmarkEnd w:id="16"/>
      <w:bookmarkEnd w:id="17"/>
    </w:p>
    <w:p w14:paraId="41DE2749"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经评价工作组针对</w:t>
      </w:r>
      <w:r>
        <w:rPr>
          <w:rFonts w:eastAsia="仿宋_GB2312" w:hint="eastAsia"/>
          <w:sz w:val="32"/>
          <w:szCs w:val="32"/>
        </w:rPr>
        <w:t>天坛医院医疗服务与保障能力提升（第三批）—区域医疗中心补助资金</w:t>
      </w:r>
      <w:r>
        <w:rPr>
          <w:rFonts w:eastAsia="仿宋_GB2312"/>
          <w:sz w:val="32"/>
          <w:szCs w:val="32"/>
        </w:rPr>
        <w:t>进行的资料审核，依据项目决策、项目过程、项目产出和项目效益四个维度进行的详细评价，得出如下结论：</w:t>
      </w:r>
    </w:p>
    <w:p w14:paraId="0295EF4B" w14:textId="77777777" w:rsidR="00B86571" w:rsidRDefault="00000000">
      <w:pPr>
        <w:pStyle w:val="a0"/>
        <w:spacing w:line="560" w:lineRule="exact"/>
        <w:ind w:firstLineChars="200" w:firstLine="640"/>
        <w:textAlignment w:val="center"/>
        <w:rPr>
          <w:rFonts w:eastAsia="仿宋_GB2312"/>
          <w:sz w:val="32"/>
          <w:szCs w:val="32"/>
        </w:rPr>
      </w:pPr>
      <w:r>
        <w:rPr>
          <w:rFonts w:eastAsia="仿宋_GB2312" w:hint="eastAsia"/>
          <w:sz w:val="32"/>
          <w:szCs w:val="32"/>
        </w:rPr>
        <w:t>天坛医院医疗服务与保障能力提升（第三批）—区域医疗中心补助资金</w:t>
      </w:r>
      <w:r>
        <w:rPr>
          <w:rFonts w:eastAsia="仿宋_GB2312"/>
          <w:sz w:val="32"/>
          <w:szCs w:val="32"/>
        </w:rPr>
        <w:t>绩效评价得分为</w:t>
      </w:r>
      <w:r>
        <w:rPr>
          <w:rFonts w:eastAsia="仿宋_GB2312" w:hint="eastAsia"/>
          <w:sz w:val="32"/>
          <w:szCs w:val="32"/>
        </w:rPr>
        <w:t>83.58</w:t>
      </w:r>
      <w:r>
        <w:rPr>
          <w:rFonts w:eastAsia="仿宋_GB2312"/>
          <w:sz w:val="32"/>
          <w:szCs w:val="32"/>
        </w:rPr>
        <w:t>分，其中项目决策得分</w:t>
      </w:r>
      <w:r>
        <w:rPr>
          <w:rFonts w:eastAsia="仿宋_GB2312" w:hint="eastAsia"/>
          <w:sz w:val="32"/>
          <w:szCs w:val="32"/>
        </w:rPr>
        <w:t>9.50</w:t>
      </w:r>
      <w:r>
        <w:rPr>
          <w:rFonts w:eastAsia="仿宋_GB2312"/>
          <w:sz w:val="32"/>
          <w:szCs w:val="32"/>
        </w:rPr>
        <w:t>分，项目过程得分</w:t>
      </w:r>
      <w:r>
        <w:rPr>
          <w:rFonts w:eastAsia="仿宋_GB2312" w:hint="eastAsia"/>
          <w:sz w:val="32"/>
          <w:szCs w:val="32"/>
        </w:rPr>
        <w:t>16.88</w:t>
      </w:r>
      <w:r>
        <w:rPr>
          <w:rFonts w:eastAsia="仿宋_GB2312"/>
          <w:sz w:val="32"/>
          <w:szCs w:val="32"/>
        </w:rPr>
        <w:t>分，项目产出得分</w:t>
      </w:r>
      <w:r>
        <w:rPr>
          <w:rFonts w:eastAsia="仿宋_GB2312" w:hint="eastAsia"/>
          <w:sz w:val="32"/>
          <w:szCs w:val="32"/>
        </w:rPr>
        <w:t>32.90</w:t>
      </w:r>
      <w:r>
        <w:rPr>
          <w:rFonts w:eastAsia="仿宋_GB2312"/>
          <w:sz w:val="32"/>
          <w:szCs w:val="32"/>
        </w:rPr>
        <w:t>分，项目效益得分</w:t>
      </w:r>
      <w:r>
        <w:rPr>
          <w:rFonts w:eastAsia="仿宋_GB2312" w:hint="eastAsia"/>
          <w:sz w:val="32"/>
          <w:szCs w:val="32"/>
        </w:rPr>
        <w:t>24.30</w:t>
      </w:r>
      <w:r>
        <w:rPr>
          <w:rFonts w:eastAsia="仿宋_GB2312"/>
          <w:sz w:val="32"/>
          <w:szCs w:val="32"/>
        </w:rPr>
        <w:t>分，绩效级别评定为</w:t>
      </w:r>
      <w:r>
        <w:rPr>
          <w:rFonts w:eastAsia="仿宋_GB2312" w:hint="eastAsia"/>
          <w:sz w:val="32"/>
          <w:szCs w:val="32"/>
        </w:rPr>
        <w:t>“良”，具体详见下表</w:t>
      </w:r>
      <w:r>
        <w:rPr>
          <w:rFonts w:eastAsia="仿宋_GB2312"/>
          <w:sz w:val="32"/>
          <w:szCs w:val="32"/>
        </w:rPr>
        <w:t>。</w:t>
      </w:r>
    </w:p>
    <w:p w14:paraId="4D09C692" w14:textId="77777777" w:rsidR="00B86571" w:rsidRDefault="00000000">
      <w:pPr>
        <w:pStyle w:val="a0"/>
        <w:spacing w:afterLines="50" w:after="156" w:line="560" w:lineRule="exact"/>
        <w:jc w:val="center"/>
        <w:textAlignment w:val="center"/>
        <w:rPr>
          <w:rFonts w:eastAsia="黑体"/>
          <w:kern w:val="44"/>
          <w:szCs w:val="21"/>
        </w:rPr>
      </w:pPr>
      <w:r>
        <w:rPr>
          <w:rFonts w:eastAsia="黑体"/>
          <w:kern w:val="44"/>
          <w:szCs w:val="21"/>
        </w:rPr>
        <w:t>表</w:t>
      </w:r>
      <w:r>
        <w:rPr>
          <w:rFonts w:eastAsia="黑体" w:hint="eastAsia"/>
          <w:kern w:val="44"/>
          <w:szCs w:val="21"/>
        </w:rPr>
        <w:t>3</w:t>
      </w:r>
      <w:r>
        <w:rPr>
          <w:rFonts w:eastAsia="黑体"/>
          <w:kern w:val="44"/>
          <w:szCs w:val="21"/>
        </w:rPr>
        <w:t xml:space="preserve"> </w:t>
      </w:r>
      <w:r>
        <w:rPr>
          <w:rFonts w:eastAsia="黑体" w:hint="eastAsia"/>
          <w:kern w:val="44"/>
          <w:szCs w:val="21"/>
        </w:rPr>
        <w:t>天坛医院医疗服务与保障能力提升（第三批）—区域医疗中心补助资金</w:t>
      </w:r>
      <w:r>
        <w:rPr>
          <w:rFonts w:eastAsia="黑体"/>
          <w:kern w:val="44"/>
          <w:szCs w:val="21"/>
        </w:rPr>
        <w:t>绩效评价结论</w:t>
      </w:r>
    </w:p>
    <w:tbl>
      <w:tblPr>
        <w:tblStyle w:val="ac"/>
        <w:tblW w:w="5000" w:type="pct"/>
        <w:jc w:val="center"/>
        <w:tblBorders>
          <w:left w:val="none" w:sz="0" w:space="0" w:color="auto"/>
          <w:right w:val="none" w:sz="0" w:space="0" w:color="auto"/>
        </w:tblBorders>
        <w:tblLook w:val="04A0" w:firstRow="1" w:lastRow="0" w:firstColumn="1" w:lastColumn="0" w:noHBand="0" w:noVBand="1"/>
      </w:tblPr>
      <w:tblGrid>
        <w:gridCol w:w="3074"/>
        <w:gridCol w:w="1544"/>
        <w:gridCol w:w="2188"/>
        <w:gridCol w:w="2029"/>
      </w:tblGrid>
      <w:tr w:rsidR="00B86571" w14:paraId="0F921FF9" w14:textId="77777777">
        <w:trPr>
          <w:trHeight w:hRule="exact" w:val="567"/>
          <w:tblHeader/>
          <w:jc w:val="center"/>
        </w:trPr>
        <w:tc>
          <w:tcPr>
            <w:tcW w:w="1740" w:type="pct"/>
            <w:tcBorders>
              <w:left w:val="single" w:sz="4" w:space="0" w:color="auto"/>
              <w:tl2br w:val="nil"/>
              <w:tr2bl w:val="nil"/>
            </w:tcBorders>
            <w:shd w:val="clear" w:color="auto" w:fill="D8D8D8" w:themeFill="background1" w:themeFillShade="D8"/>
            <w:vAlign w:val="center"/>
          </w:tcPr>
          <w:p w14:paraId="0B139CF8" w14:textId="77777777" w:rsidR="00B86571" w:rsidRDefault="00000000">
            <w:pPr>
              <w:jc w:val="center"/>
              <w:textAlignment w:val="center"/>
              <w:rPr>
                <w:b/>
                <w:bCs/>
                <w:color w:val="000000"/>
                <w:kern w:val="0"/>
                <w:sz w:val="24"/>
                <w:lang w:bidi="ar"/>
              </w:rPr>
            </w:pPr>
            <w:r>
              <w:rPr>
                <w:b/>
                <w:bCs/>
                <w:color w:val="000000"/>
                <w:kern w:val="0"/>
                <w:sz w:val="24"/>
                <w:lang w:bidi="ar"/>
              </w:rPr>
              <w:t>评价内容</w:t>
            </w:r>
          </w:p>
        </w:tc>
        <w:tc>
          <w:tcPr>
            <w:tcW w:w="874" w:type="pct"/>
            <w:tcBorders>
              <w:tl2br w:val="nil"/>
              <w:tr2bl w:val="nil"/>
            </w:tcBorders>
            <w:shd w:val="clear" w:color="auto" w:fill="D8D8D8" w:themeFill="background1" w:themeFillShade="D8"/>
            <w:vAlign w:val="center"/>
          </w:tcPr>
          <w:p w14:paraId="0A799CFB" w14:textId="77777777" w:rsidR="00B86571" w:rsidRDefault="00000000">
            <w:pPr>
              <w:jc w:val="center"/>
              <w:textAlignment w:val="center"/>
              <w:rPr>
                <w:b/>
                <w:bCs/>
                <w:color w:val="000000"/>
                <w:kern w:val="0"/>
                <w:sz w:val="24"/>
                <w:lang w:bidi="ar"/>
              </w:rPr>
            </w:pPr>
            <w:r>
              <w:rPr>
                <w:b/>
                <w:bCs/>
                <w:color w:val="000000"/>
                <w:kern w:val="0"/>
                <w:sz w:val="24"/>
                <w:lang w:bidi="ar"/>
              </w:rPr>
              <w:t>分值</w:t>
            </w:r>
          </w:p>
        </w:tc>
        <w:tc>
          <w:tcPr>
            <w:tcW w:w="1238" w:type="pct"/>
            <w:tcBorders>
              <w:right w:val="single" w:sz="4" w:space="0" w:color="auto"/>
              <w:tl2br w:val="nil"/>
              <w:tr2bl w:val="nil"/>
            </w:tcBorders>
            <w:shd w:val="clear" w:color="auto" w:fill="D8D8D8" w:themeFill="background1" w:themeFillShade="D8"/>
            <w:vAlign w:val="center"/>
          </w:tcPr>
          <w:p w14:paraId="7687F636" w14:textId="77777777" w:rsidR="00B86571" w:rsidRDefault="00000000">
            <w:pPr>
              <w:jc w:val="center"/>
              <w:textAlignment w:val="center"/>
              <w:rPr>
                <w:b/>
                <w:bCs/>
                <w:color w:val="000000"/>
                <w:kern w:val="0"/>
                <w:sz w:val="24"/>
                <w:lang w:bidi="ar"/>
              </w:rPr>
            </w:pPr>
            <w:r>
              <w:rPr>
                <w:b/>
                <w:bCs/>
                <w:color w:val="000000"/>
                <w:kern w:val="0"/>
                <w:sz w:val="24"/>
                <w:lang w:bidi="ar"/>
              </w:rPr>
              <w:t>评价得分</w:t>
            </w:r>
          </w:p>
        </w:tc>
        <w:tc>
          <w:tcPr>
            <w:tcW w:w="1148" w:type="pct"/>
            <w:tcBorders>
              <w:right w:val="single" w:sz="4" w:space="0" w:color="auto"/>
              <w:tl2br w:val="nil"/>
              <w:tr2bl w:val="nil"/>
            </w:tcBorders>
            <w:shd w:val="clear" w:color="auto" w:fill="D8D8D8" w:themeFill="background1" w:themeFillShade="D8"/>
            <w:vAlign w:val="center"/>
          </w:tcPr>
          <w:p w14:paraId="58FD7C30" w14:textId="77777777" w:rsidR="00B86571" w:rsidRDefault="00000000">
            <w:pPr>
              <w:jc w:val="center"/>
              <w:textAlignment w:val="center"/>
              <w:rPr>
                <w:color w:val="000000"/>
                <w:kern w:val="0"/>
                <w:sz w:val="24"/>
                <w:lang w:bidi="ar"/>
              </w:rPr>
            </w:pPr>
            <w:r>
              <w:rPr>
                <w:b/>
                <w:bCs/>
                <w:color w:val="000000"/>
                <w:kern w:val="0"/>
                <w:sz w:val="24"/>
                <w:lang w:bidi="ar"/>
              </w:rPr>
              <w:t>得分率</w:t>
            </w:r>
          </w:p>
        </w:tc>
      </w:tr>
      <w:tr w:rsidR="00B86571" w14:paraId="269260C6" w14:textId="77777777">
        <w:trPr>
          <w:trHeight w:hRule="exact" w:val="567"/>
          <w:jc w:val="center"/>
        </w:trPr>
        <w:tc>
          <w:tcPr>
            <w:tcW w:w="1740" w:type="pct"/>
            <w:tcBorders>
              <w:left w:val="single" w:sz="4" w:space="0" w:color="auto"/>
              <w:tl2br w:val="nil"/>
              <w:tr2bl w:val="nil"/>
            </w:tcBorders>
            <w:vAlign w:val="center"/>
          </w:tcPr>
          <w:p w14:paraId="73E14176" w14:textId="77777777" w:rsidR="00B86571" w:rsidRDefault="00000000">
            <w:pPr>
              <w:jc w:val="center"/>
              <w:textAlignment w:val="center"/>
              <w:rPr>
                <w:color w:val="000000"/>
                <w:kern w:val="0"/>
                <w:sz w:val="24"/>
                <w:lang w:bidi="ar"/>
              </w:rPr>
            </w:pPr>
            <w:r>
              <w:rPr>
                <w:color w:val="000000"/>
                <w:kern w:val="0"/>
                <w:sz w:val="24"/>
                <w:lang w:bidi="ar"/>
              </w:rPr>
              <w:t>项目决策</w:t>
            </w:r>
          </w:p>
        </w:tc>
        <w:tc>
          <w:tcPr>
            <w:tcW w:w="874" w:type="pct"/>
            <w:tcBorders>
              <w:tl2br w:val="nil"/>
              <w:tr2bl w:val="nil"/>
            </w:tcBorders>
            <w:vAlign w:val="center"/>
          </w:tcPr>
          <w:p w14:paraId="239939F0" w14:textId="77777777" w:rsidR="00B86571" w:rsidRDefault="00000000">
            <w:pPr>
              <w:jc w:val="center"/>
              <w:textAlignment w:val="center"/>
              <w:rPr>
                <w:color w:val="000000"/>
                <w:kern w:val="0"/>
                <w:sz w:val="24"/>
                <w:lang w:bidi="ar"/>
              </w:rPr>
            </w:pPr>
            <w:r>
              <w:rPr>
                <w:color w:val="000000"/>
                <w:kern w:val="0"/>
                <w:sz w:val="24"/>
                <w:lang w:bidi="ar"/>
              </w:rPr>
              <w:t>10</w:t>
            </w:r>
          </w:p>
        </w:tc>
        <w:tc>
          <w:tcPr>
            <w:tcW w:w="2244" w:type="dxa"/>
            <w:tcBorders>
              <w:right w:val="single" w:sz="4" w:space="0" w:color="auto"/>
              <w:tl2br w:val="nil"/>
              <w:tr2bl w:val="nil"/>
            </w:tcBorders>
            <w:vAlign w:val="center"/>
          </w:tcPr>
          <w:p w14:paraId="48507F95" w14:textId="77777777" w:rsidR="00B86571" w:rsidRDefault="00000000">
            <w:pPr>
              <w:widowControl/>
              <w:jc w:val="center"/>
              <w:textAlignment w:val="center"/>
              <w:rPr>
                <w:color w:val="000000"/>
                <w:kern w:val="0"/>
                <w:sz w:val="24"/>
                <w:lang w:bidi="ar"/>
              </w:rPr>
            </w:pPr>
            <w:r>
              <w:rPr>
                <w:color w:val="000000"/>
                <w:kern w:val="0"/>
                <w:sz w:val="24"/>
                <w:lang w:bidi="ar"/>
              </w:rPr>
              <w:t>9.</w:t>
            </w:r>
            <w:r>
              <w:rPr>
                <w:rFonts w:hint="eastAsia"/>
                <w:color w:val="000000"/>
                <w:kern w:val="0"/>
                <w:sz w:val="24"/>
                <w:lang w:bidi="ar"/>
              </w:rPr>
              <w:t>5</w:t>
            </w:r>
            <w:r>
              <w:rPr>
                <w:color w:val="000000"/>
                <w:kern w:val="0"/>
                <w:sz w:val="24"/>
                <w:lang w:bidi="ar"/>
              </w:rPr>
              <w:t xml:space="preserve">0 </w:t>
            </w:r>
          </w:p>
        </w:tc>
        <w:tc>
          <w:tcPr>
            <w:tcW w:w="2080" w:type="dxa"/>
            <w:tcBorders>
              <w:right w:val="single" w:sz="4" w:space="0" w:color="auto"/>
              <w:tl2br w:val="nil"/>
              <w:tr2bl w:val="nil"/>
            </w:tcBorders>
            <w:vAlign w:val="center"/>
          </w:tcPr>
          <w:p w14:paraId="533B5756" w14:textId="77777777" w:rsidR="00B86571" w:rsidRDefault="00000000">
            <w:pPr>
              <w:widowControl/>
              <w:jc w:val="center"/>
              <w:textAlignment w:val="center"/>
              <w:rPr>
                <w:color w:val="000000"/>
                <w:kern w:val="0"/>
                <w:sz w:val="24"/>
                <w:lang w:bidi="ar"/>
              </w:rPr>
            </w:pPr>
            <w:r>
              <w:rPr>
                <w:color w:val="000000"/>
                <w:kern w:val="0"/>
                <w:sz w:val="24"/>
                <w:lang w:bidi="ar"/>
              </w:rPr>
              <w:t>9</w:t>
            </w:r>
            <w:r>
              <w:rPr>
                <w:rFonts w:hint="eastAsia"/>
                <w:color w:val="000000"/>
                <w:kern w:val="0"/>
                <w:sz w:val="24"/>
                <w:lang w:bidi="ar"/>
              </w:rPr>
              <w:t>5</w:t>
            </w:r>
            <w:r>
              <w:rPr>
                <w:color w:val="000000"/>
                <w:kern w:val="0"/>
                <w:sz w:val="24"/>
                <w:lang w:bidi="ar"/>
              </w:rPr>
              <w:t>.00%</w:t>
            </w:r>
          </w:p>
        </w:tc>
      </w:tr>
      <w:tr w:rsidR="00B86571" w14:paraId="0D233DAC" w14:textId="77777777">
        <w:trPr>
          <w:trHeight w:hRule="exact" w:val="567"/>
          <w:jc w:val="center"/>
        </w:trPr>
        <w:tc>
          <w:tcPr>
            <w:tcW w:w="1740" w:type="pct"/>
            <w:tcBorders>
              <w:left w:val="single" w:sz="4" w:space="0" w:color="auto"/>
              <w:tl2br w:val="nil"/>
              <w:tr2bl w:val="nil"/>
            </w:tcBorders>
            <w:vAlign w:val="center"/>
          </w:tcPr>
          <w:p w14:paraId="5897604C" w14:textId="77777777" w:rsidR="00B86571" w:rsidRDefault="00000000">
            <w:pPr>
              <w:jc w:val="center"/>
              <w:textAlignment w:val="center"/>
              <w:rPr>
                <w:color w:val="000000"/>
                <w:kern w:val="0"/>
                <w:sz w:val="24"/>
                <w:lang w:bidi="ar"/>
              </w:rPr>
            </w:pPr>
            <w:r>
              <w:rPr>
                <w:color w:val="000000"/>
                <w:kern w:val="0"/>
                <w:sz w:val="24"/>
                <w:lang w:bidi="ar"/>
              </w:rPr>
              <w:t>项目过程</w:t>
            </w:r>
          </w:p>
        </w:tc>
        <w:tc>
          <w:tcPr>
            <w:tcW w:w="874" w:type="pct"/>
            <w:tcBorders>
              <w:tl2br w:val="nil"/>
              <w:tr2bl w:val="nil"/>
            </w:tcBorders>
            <w:vAlign w:val="center"/>
          </w:tcPr>
          <w:p w14:paraId="425631AE" w14:textId="77777777" w:rsidR="00B86571" w:rsidRDefault="00000000">
            <w:pPr>
              <w:jc w:val="center"/>
              <w:textAlignment w:val="center"/>
              <w:rPr>
                <w:color w:val="000000"/>
                <w:kern w:val="0"/>
                <w:sz w:val="24"/>
                <w:lang w:bidi="ar"/>
              </w:rPr>
            </w:pPr>
            <w:r>
              <w:rPr>
                <w:color w:val="000000"/>
                <w:kern w:val="0"/>
                <w:sz w:val="24"/>
                <w:lang w:bidi="ar"/>
              </w:rPr>
              <w:t>20</w:t>
            </w:r>
          </w:p>
        </w:tc>
        <w:tc>
          <w:tcPr>
            <w:tcW w:w="2244" w:type="dxa"/>
            <w:tcBorders>
              <w:right w:val="single" w:sz="4" w:space="0" w:color="auto"/>
              <w:tl2br w:val="nil"/>
              <w:tr2bl w:val="nil"/>
            </w:tcBorders>
            <w:vAlign w:val="center"/>
          </w:tcPr>
          <w:p w14:paraId="7FBCB387" w14:textId="77777777" w:rsidR="00B86571" w:rsidRDefault="00000000">
            <w:pPr>
              <w:widowControl/>
              <w:jc w:val="center"/>
              <w:textAlignment w:val="center"/>
              <w:rPr>
                <w:color w:val="000000"/>
                <w:kern w:val="0"/>
                <w:sz w:val="24"/>
                <w:lang w:bidi="ar"/>
              </w:rPr>
            </w:pPr>
            <w:r>
              <w:rPr>
                <w:color w:val="000000"/>
                <w:kern w:val="0"/>
                <w:sz w:val="24"/>
                <w:lang w:bidi="ar"/>
              </w:rPr>
              <w:t xml:space="preserve">16.88 </w:t>
            </w:r>
          </w:p>
        </w:tc>
        <w:tc>
          <w:tcPr>
            <w:tcW w:w="2080" w:type="dxa"/>
            <w:tcBorders>
              <w:right w:val="single" w:sz="4" w:space="0" w:color="auto"/>
              <w:tl2br w:val="nil"/>
              <w:tr2bl w:val="nil"/>
            </w:tcBorders>
            <w:vAlign w:val="center"/>
          </w:tcPr>
          <w:p w14:paraId="054041A6" w14:textId="77777777" w:rsidR="00B86571" w:rsidRDefault="00000000">
            <w:pPr>
              <w:widowControl/>
              <w:jc w:val="center"/>
              <w:textAlignment w:val="center"/>
              <w:rPr>
                <w:color w:val="000000"/>
                <w:kern w:val="0"/>
                <w:sz w:val="24"/>
                <w:lang w:bidi="ar"/>
              </w:rPr>
            </w:pPr>
            <w:r>
              <w:rPr>
                <w:color w:val="000000"/>
                <w:kern w:val="0"/>
                <w:sz w:val="24"/>
                <w:lang w:bidi="ar"/>
              </w:rPr>
              <w:t>84.40%</w:t>
            </w:r>
          </w:p>
        </w:tc>
      </w:tr>
      <w:tr w:rsidR="00B86571" w14:paraId="7367F211" w14:textId="77777777">
        <w:trPr>
          <w:trHeight w:hRule="exact" w:val="567"/>
          <w:jc w:val="center"/>
        </w:trPr>
        <w:tc>
          <w:tcPr>
            <w:tcW w:w="1740" w:type="pct"/>
            <w:tcBorders>
              <w:left w:val="single" w:sz="4" w:space="0" w:color="auto"/>
              <w:tl2br w:val="nil"/>
              <w:tr2bl w:val="nil"/>
            </w:tcBorders>
            <w:vAlign w:val="center"/>
          </w:tcPr>
          <w:p w14:paraId="1C01A416" w14:textId="77777777" w:rsidR="00B86571" w:rsidRDefault="00000000">
            <w:pPr>
              <w:jc w:val="center"/>
              <w:textAlignment w:val="center"/>
              <w:rPr>
                <w:color w:val="000000"/>
                <w:kern w:val="0"/>
                <w:sz w:val="24"/>
                <w:lang w:bidi="ar"/>
              </w:rPr>
            </w:pPr>
            <w:r>
              <w:rPr>
                <w:color w:val="000000"/>
                <w:kern w:val="0"/>
                <w:sz w:val="24"/>
                <w:lang w:bidi="ar"/>
              </w:rPr>
              <w:t>项目产出</w:t>
            </w:r>
          </w:p>
        </w:tc>
        <w:tc>
          <w:tcPr>
            <w:tcW w:w="874" w:type="pct"/>
            <w:tcBorders>
              <w:tl2br w:val="nil"/>
              <w:tr2bl w:val="nil"/>
            </w:tcBorders>
            <w:vAlign w:val="center"/>
          </w:tcPr>
          <w:p w14:paraId="0600A71A" w14:textId="77777777" w:rsidR="00B86571" w:rsidRDefault="00000000">
            <w:pPr>
              <w:jc w:val="center"/>
              <w:textAlignment w:val="center"/>
              <w:rPr>
                <w:color w:val="000000"/>
                <w:kern w:val="0"/>
                <w:sz w:val="24"/>
                <w:lang w:bidi="ar"/>
              </w:rPr>
            </w:pPr>
            <w:r>
              <w:rPr>
                <w:color w:val="000000"/>
                <w:kern w:val="0"/>
                <w:sz w:val="24"/>
                <w:lang w:bidi="ar"/>
              </w:rPr>
              <w:t>40</w:t>
            </w:r>
          </w:p>
        </w:tc>
        <w:tc>
          <w:tcPr>
            <w:tcW w:w="2244" w:type="dxa"/>
            <w:tcBorders>
              <w:right w:val="single" w:sz="4" w:space="0" w:color="auto"/>
              <w:tl2br w:val="nil"/>
              <w:tr2bl w:val="nil"/>
            </w:tcBorders>
            <w:vAlign w:val="center"/>
          </w:tcPr>
          <w:p w14:paraId="62175261" w14:textId="77777777" w:rsidR="00B86571" w:rsidRDefault="00000000">
            <w:pPr>
              <w:widowControl/>
              <w:jc w:val="center"/>
              <w:textAlignment w:val="center"/>
              <w:rPr>
                <w:color w:val="000000"/>
                <w:kern w:val="0"/>
                <w:sz w:val="24"/>
                <w:lang w:bidi="ar"/>
              </w:rPr>
            </w:pPr>
            <w:r>
              <w:rPr>
                <w:color w:val="000000"/>
                <w:kern w:val="0"/>
                <w:sz w:val="24"/>
                <w:lang w:bidi="ar"/>
              </w:rPr>
              <w:t>3</w:t>
            </w:r>
            <w:r>
              <w:rPr>
                <w:rFonts w:hint="eastAsia"/>
                <w:color w:val="000000"/>
                <w:kern w:val="0"/>
                <w:sz w:val="24"/>
                <w:lang w:bidi="ar"/>
              </w:rPr>
              <w:t>2.9</w:t>
            </w:r>
            <w:r>
              <w:rPr>
                <w:color w:val="000000"/>
                <w:kern w:val="0"/>
                <w:sz w:val="24"/>
                <w:lang w:bidi="ar"/>
              </w:rPr>
              <w:t xml:space="preserve">0 </w:t>
            </w:r>
          </w:p>
        </w:tc>
        <w:tc>
          <w:tcPr>
            <w:tcW w:w="2080" w:type="dxa"/>
            <w:tcBorders>
              <w:right w:val="single" w:sz="4" w:space="0" w:color="auto"/>
              <w:tl2br w:val="nil"/>
              <w:tr2bl w:val="nil"/>
            </w:tcBorders>
            <w:vAlign w:val="center"/>
          </w:tcPr>
          <w:p w14:paraId="33C04D73" w14:textId="77777777" w:rsidR="00B86571" w:rsidRDefault="00000000">
            <w:pPr>
              <w:widowControl/>
              <w:jc w:val="center"/>
              <w:textAlignment w:val="center"/>
              <w:rPr>
                <w:color w:val="000000"/>
                <w:kern w:val="0"/>
                <w:sz w:val="24"/>
                <w:lang w:bidi="ar"/>
              </w:rPr>
            </w:pPr>
            <w:r>
              <w:rPr>
                <w:rFonts w:hint="eastAsia"/>
                <w:color w:val="000000"/>
                <w:kern w:val="0"/>
                <w:sz w:val="24"/>
                <w:lang w:bidi="ar"/>
              </w:rPr>
              <w:t>82.25</w:t>
            </w:r>
            <w:r>
              <w:rPr>
                <w:color w:val="000000"/>
                <w:kern w:val="0"/>
                <w:sz w:val="24"/>
                <w:lang w:bidi="ar"/>
              </w:rPr>
              <w:t>%</w:t>
            </w:r>
          </w:p>
        </w:tc>
      </w:tr>
      <w:tr w:rsidR="00B86571" w14:paraId="5E32AC04" w14:textId="77777777">
        <w:trPr>
          <w:trHeight w:hRule="exact" w:val="567"/>
          <w:jc w:val="center"/>
        </w:trPr>
        <w:tc>
          <w:tcPr>
            <w:tcW w:w="1740" w:type="pct"/>
            <w:tcBorders>
              <w:left w:val="single" w:sz="4" w:space="0" w:color="auto"/>
              <w:tl2br w:val="nil"/>
              <w:tr2bl w:val="nil"/>
            </w:tcBorders>
            <w:vAlign w:val="center"/>
          </w:tcPr>
          <w:p w14:paraId="75BE6657" w14:textId="77777777" w:rsidR="00B86571" w:rsidRDefault="00000000">
            <w:pPr>
              <w:jc w:val="center"/>
              <w:textAlignment w:val="center"/>
              <w:rPr>
                <w:color w:val="000000"/>
                <w:kern w:val="0"/>
                <w:sz w:val="24"/>
                <w:lang w:bidi="ar"/>
              </w:rPr>
            </w:pPr>
            <w:r>
              <w:rPr>
                <w:color w:val="000000"/>
                <w:kern w:val="0"/>
                <w:sz w:val="24"/>
                <w:lang w:bidi="ar"/>
              </w:rPr>
              <w:t>项目效益</w:t>
            </w:r>
          </w:p>
        </w:tc>
        <w:tc>
          <w:tcPr>
            <w:tcW w:w="874" w:type="pct"/>
            <w:tcBorders>
              <w:tl2br w:val="nil"/>
              <w:tr2bl w:val="nil"/>
            </w:tcBorders>
            <w:vAlign w:val="center"/>
          </w:tcPr>
          <w:p w14:paraId="246914AA" w14:textId="77777777" w:rsidR="00B86571" w:rsidRDefault="00000000">
            <w:pPr>
              <w:jc w:val="center"/>
              <w:textAlignment w:val="center"/>
              <w:rPr>
                <w:color w:val="000000"/>
                <w:kern w:val="0"/>
                <w:sz w:val="24"/>
                <w:lang w:bidi="ar"/>
              </w:rPr>
            </w:pPr>
            <w:r>
              <w:rPr>
                <w:color w:val="000000"/>
                <w:kern w:val="0"/>
                <w:sz w:val="24"/>
                <w:lang w:bidi="ar"/>
              </w:rPr>
              <w:t>30</w:t>
            </w:r>
          </w:p>
        </w:tc>
        <w:tc>
          <w:tcPr>
            <w:tcW w:w="2244" w:type="dxa"/>
            <w:tcBorders>
              <w:right w:val="single" w:sz="4" w:space="0" w:color="auto"/>
              <w:tl2br w:val="nil"/>
              <w:tr2bl w:val="nil"/>
            </w:tcBorders>
            <w:vAlign w:val="center"/>
          </w:tcPr>
          <w:p w14:paraId="6E4A7760" w14:textId="77777777" w:rsidR="00B86571" w:rsidRDefault="00000000">
            <w:pPr>
              <w:widowControl/>
              <w:jc w:val="center"/>
              <w:textAlignment w:val="center"/>
              <w:rPr>
                <w:color w:val="000000"/>
                <w:kern w:val="0"/>
                <w:sz w:val="24"/>
                <w:lang w:bidi="ar"/>
              </w:rPr>
            </w:pPr>
            <w:r>
              <w:rPr>
                <w:color w:val="000000"/>
                <w:kern w:val="0"/>
                <w:sz w:val="24"/>
                <w:lang w:bidi="ar"/>
              </w:rPr>
              <w:t>24.</w:t>
            </w:r>
            <w:r>
              <w:rPr>
                <w:rFonts w:hint="eastAsia"/>
                <w:color w:val="000000"/>
                <w:kern w:val="0"/>
                <w:sz w:val="24"/>
                <w:lang w:bidi="ar"/>
              </w:rPr>
              <w:t>3</w:t>
            </w:r>
            <w:r>
              <w:rPr>
                <w:color w:val="000000"/>
                <w:kern w:val="0"/>
                <w:sz w:val="24"/>
                <w:lang w:bidi="ar"/>
              </w:rPr>
              <w:t xml:space="preserve">0 </w:t>
            </w:r>
          </w:p>
        </w:tc>
        <w:tc>
          <w:tcPr>
            <w:tcW w:w="2080" w:type="dxa"/>
            <w:tcBorders>
              <w:right w:val="single" w:sz="4" w:space="0" w:color="auto"/>
              <w:tl2br w:val="nil"/>
              <w:tr2bl w:val="nil"/>
            </w:tcBorders>
            <w:vAlign w:val="center"/>
          </w:tcPr>
          <w:p w14:paraId="39D291DD" w14:textId="77777777" w:rsidR="00B86571" w:rsidRDefault="00000000">
            <w:pPr>
              <w:widowControl/>
              <w:jc w:val="center"/>
              <w:textAlignment w:val="center"/>
              <w:rPr>
                <w:color w:val="000000"/>
                <w:kern w:val="0"/>
                <w:sz w:val="24"/>
                <w:lang w:bidi="ar"/>
              </w:rPr>
            </w:pPr>
            <w:r>
              <w:rPr>
                <w:color w:val="000000"/>
                <w:kern w:val="0"/>
                <w:sz w:val="24"/>
                <w:lang w:bidi="ar"/>
              </w:rPr>
              <w:t>8</w:t>
            </w:r>
            <w:r>
              <w:rPr>
                <w:rFonts w:hint="eastAsia"/>
                <w:color w:val="000000"/>
                <w:kern w:val="0"/>
                <w:sz w:val="24"/>
                <w:lang w:bidi="ar"/>
              </w:rPr>
              <w:t>1</w:t>
            </w:r>
            <w:r>
              <w:rPr>
                <w:color w:val="000000"/>
                <w:kern w:val="0"/>
                <w:sz w:val="24"/>
                <w:lang w:bidi="ar"/>
              </w:rPr>
              <w:t>.</w:t>
            </w:r>
            <w:r>
              <w:rPr>
                <w:rFonts w:hint="eastAsia"/>
                <w:color w:val="000000"/>
                <w:kern w:val="0"/>
                <w:sz w:val="24"/>
                <w:lang w:bidi="ar"/>
              </w:rPr>
              <w:t>00</w:t>
            </w:r>
            <w:r>
              <w:rPr>
                <w:color w:val="000000"/>
                <w:kern w:val="0"/>
                <w:sz w:val="24"/>
                <w:lang w:bidi="ar"/>
              </w:rPr>
              <w:t>%</w:t>
            </w:r>
          </w:p>
        </w:tc>
      </w:tr>
      <w:tr w:rsidR="00B86571" w14:paraId="24025F06" w14:textId="77777777">
        <w:trPr>
          <w:trHeight w:hRule="exact" w:val="567"/>
          <w:jc w:val="center"/>
        </w:trPr>
        <w:tc>
          <w:tcPr>
            <w:tcW w:w="1740" w:type="pct"/>
            <w:tcBorders>
              <w:left w:val="single" w:sz="4" w:space="0" w:color="auto"/>
              <w:tl2br w:val="nil"/>
              <w:tr2bl w:val="nil"/>
            </w:tcBorders>
            <w:vAlign w:val="center"/>
          </w:tcPr>
          <w:p w14:paraId="58FE0266" w14:textId="77777777" w:rsidR="00B86571" w:rsidRDefault="00000000">
            <w:pPr>
              <w:jc w:val="center"/>
              <w:textAlignment w:val="center"/>
              <w:rPr>
                <w:color w:val="000000"/>
                <w:kern w:val="0"/>
                <w:sz w:val="24"/>
                <w:lang w:bidi="ar"/>
              </w:rPr>
            </w:pPr>
            <w:r>
              <w:rPr>
                <w:color w:val="000000"/>
                <w:kern w:val="0"/>
                <w:sz w:val="24"/>
                <w:lang w:bidi="ar"/>
              </w:rPr>
              <w:t>综合得分</w:t>
            </w:r>
          </w:p>
        </w:tc>
        <w:tc>
          <w:tcPr>
            <w:tcW w:w="874" w:type="pct"/>
            <w:tcBorders>
              <w:tl2br w:val="nil"/>
              <w:tr2bl w:val="nil"/>
            </w:tcBorders>
            <w:vAlign w:val="center"/>
          </w:tcPr>
          <w:p w14:paraId="23AEE0F1" w14:textId="77777777" w:rsidR="00B86571" w:rsidRDefault="00000000">
            <w:pPr>
              <w:jc w:val="center"/>
              <w:textAlignment w:val="center"/>
              <w:rPr>
                <w:color w:val="000000"/>
                <w:kern w:val="0"/>
                <w:sz w:val="24"/>
                <w:lang w:bidi="ar"/>
              </w:rPr>
            </w:pPr>
            <w:r>
              <w:rPr>
                <w:color w:val="000000"/>
                <w:kern w:val="0"/>
                <w:sz w:val="24"/>
                <w:lang w:bidi="ar"/>
              </w:rPr>
              <w:t>100</w:t>
            </w:r>
          </w:p>
        </w:tc>
        <w:tc>
          <w:tcPr>
            <w:tcW w:w="2244" w:type="dxa"/>
            <w:tcBorders>
              <w:right w:val="single" w:sz="4" w:space="0" w:color="auto"/>
              <w:tl2br w:val="nil"/>
              <w:tr2bl w:val="nil"/>
            </w:tcBorders>
            <w:vAlign w:val="center"/>
          </w:tcPr>
          <w:p w14:paraId="06F847E2" w14:textId="77777777" w:rsidR="00B86571" w:rsidRDefault="00000000">
            <w:pPr>
              <w:widowControl/>
              <w:jc w:val="center"/>
              <w:textAlignment w:val="center"/>
              <w:rPr>
                <w:color w:val="000000"/>
                <w:kern w:val="0"/>
                <w:sz w:val="24"/>
                <w:lang w:bidi="ar"/>
              </w:rPr>
            </w:pPr>
            <w:r>
              <w:rPr>
                <w:color w:val="000000"/>
                <w:kern w:val="0"/>
                <w:sz w:val="24"/>
                <w:lang w:bidi="ar"/>
              </w:rPr>
              <w:t>8</w:t>
            </w:r>
            <w:r>
              <w:rPr>
                <w:rFonts w:hint="eastAsia"/>
                <w:color w:val="000000"/>
                <w:kern w:val="0"/>
                <w:sz w:val="24"/>
                <w:lang w:bidi="ar"/>
              </w:rPr>
              <w:t>3</w:t>
            </w:r>
            <w:r>
              <w:rPr>
                <w:color w:val="000000"/>
                <w:kern w:val="0"/>
                <w:sz w:val="24"/>
                <w:lang w:bidi="ar"/>
              </w:rPr>
              <w:t>.</w:t>
            </w:r>
            <w:r>
              <w:rPr>
                <w:rFonts w:hint="eastAsia"/>
                <w:color w:val="000000"/>
                <w:kern w:val="0"/>
                <w:sz w:val="24"/>
                <w:lang w:bidi="ar"/>
              </w:rPr>
              <w:t>5</w:t>
            </w:r>
            <w:r>
              <w:rPr>
                <w:color w:val="000000"/>
                <w:kern w:val="0"/>
                <w:sz w:val="24"/>
                <w:lang w:bidi="ar"/>
              </w:rPr>
              <w:t xml:space="preserve">8 </w:t>
            </w:r>
          </w:p>
        </w:tc>
        <w:tc>
          <w:tcPr>
            <w:tcW w:w="2080" w:type="dxa"/>
            <w:tcBorders>
              <w:right w:val="single" w:sz="4" w:space="0" w:color="auto"/>
              <w:tl2br w:val="nil"/>
              <w:tr2bl w:val="nil"/>
            </w:tcBorders>
            <w:vAlign w:val="center"/>
          </w:tcPr>
          <w:p w14:paraId="7DEA63C4" w14:textId="77777777" w:rsidR="00B86571" w:rsidRDefault="00000000">
            <w:pPr>
              <w:widowControl/>
              <w:jc w:val="center"/>
              <w:textAlignment w:val="center"/>
              <w:rPr>
                <w:color w:val="000000"/>
                <w:kern w:val="0"/>
                <w:sz w:val="24"/>
                <w:lang w:bidi="ar"/>
              </w:rPr>
            </w:pPr>
            <w:r>
              <w:rPr>
                <w:color w:val="000000"/>
                <w:kern w:val="0"/>
                <w:sz w:val="24"/>
                <w:lang w:bidi="ar"/>
              </w:rPr>
              <w:t>8</w:t>
            </w:r>
            <w:r>
              <w:rPr>
                <w:rFonts w:hint="eastAsia"/>
                <w:color w:val="000000"/>
                <w:kern w:val="0"/>
                <w:sz w:val="24"/>
                <w:lang w:bidi="ar"/>
              </w:rPr>
              <w:t>3</w:t>
            </w:r>
            <w:r>
              <w:rPr>
                <w:color w:val="000000"/>
                <w:kern w:val="0"/>
                <w:sz w:val="24"/>
                <w:lang w:bidi="ar"/>
              </w:rPr>
              <w:t>.</w:t>
            </w:r>
            <w:r>
              <w:rPr>
                <w:rFonts w:hint="eastAsia"/>
                <w:color w:val="000000"/>
                <w:kern w:val="0"/>
                <w:sz w:val="24"/>
                <w:lang w:bidi="ar"/>
              </w:rPr>
              <w:t>5</w:t>
            </w:r>
            <w:r>
              <w:rPr>
                <w:color w:val="000000"/>
                <w:kern w:val="0"/>
                <w:sz w:val="24"/>
                <w:lang w:bidi="ar"/>
              </w:rPr>
              <w:t>8%</w:t>
            </w:r>
          </w:p>
        </w:tc>
      </w:tr>
      <w:tr w:rsidR="00B86571" w14:paraId="4D4706BB" w14:textId="77777777">
        <w:trPr>
          <w:trHeight w:hRule="exact" w:val="567"/>
          <w:jc w:val="center"/>
        </w:trPr>
        <w:tc>
          <w:tcPr>
            <w:tcW w:w="1740" w:type="pct"/>
            <w:tcBorders>
              <w:left w:val="single" w:sz="4" w:space="0" w:color="auto"/>
              <w:tl2br w:val="nil"/>
              <w:tr2bl w:val="nil"/>
            </w:tcBorders>
            <w:vAlign w:val="center"/>
          </w:tcPr>
          <w:p w14:paraId="0A0436BC" w14:textId="77777777" w:rsidR="00B86571" w:rsidRDefault="00000000">
            <w:pPr>
              <w:jc w:val="center"/>
              <w:textAlignment w:val="center"/>
              <w:rPr>
                <w:b/>
                <w:bCs/>
                <w:color w:val="000000"/>
                <w:kern w:val="0"/>
                <w:sz w:val="24"/>
                <w:lang w:bidi="ar"/>
              </w:rPr>
            </w:pPr>
            <w:r>
              <w:rPr>
                <w:b/>
                <w:bCs/>
                <w:color w:val="000000"/>
                <w:kern w:val="0"/>
                <w:sz w:val="24"/>
                <w:lang w:bidi="ar"/>
              </w:rPr>
              <w:t>绩效评定级别</w:t>
            </w:r>
          </w:p>
        </w:tc>
        <w:tc>
          <w:tcPr>
            <w:tcW w:w="3260" w:type="pct"/>
            <w:gridSpan w:val="3"/>
            <w:tcBorders>
              <w:right w:val="single" w:sz="4" w:space="0" w:color="auto"/>
              <w:tl2br w:val="nil"/>
              <w:tr2bl w:val="nil"/>
            </w:tcBorders>
            <w:vAlign w:val="center"/>
          </w:tcPr>
          <w:p w14:paraId="5EB47DB2" w14:textId="77777777" w:rsidR="00B86571" w:rsidRDefault="00000000">
            <w:pPr>
              <w:jc w:val="center"/>
              <w:textAlignment w:val="center"/>
              <w:rPr>
                <w:b/>
                <w:bCs/>
                <w:color w:val="000000"/>
                <w:kern w:val="0"/>
                <w:sz w:val="24"/>
                <w:lang w:bidi="ar"/>
              </w:rPr>
            </w:pPr>
            <w:r>
              <w:rPr>
                <w:rFonts w:hint="eastAsia"/>
                <w:b/>
                <w:bCs/>
                <w:color w:val="000000"/>
                <w:kern w:val="0"/>
                <w:sz w:val="24"/>
                <w:lang w:bidi="ar"/>
              </w:rPr>
              <w:t>良</w:t>
            </w:r>
          </w:p>
        </w:tc>
      </w:tr>
    </w:tbl>
    <w:p w14:paraId="38DA1172" w14:textId="77777777" w:rsidR="00B86571" w:rsidRDefault="00000000">
      <w:pPr>
        <w:pStyle w:val="1"/>
        <w:keepNext w:val="0"/>
        <w:keepLines w:val="0"/>
        <w:spacing w:before="0" w:after="0" w:line="560" w:lineRule="exact"/>
        <w:ind w:firstLineChars="200" w:firstLine="640"/>
        <w:contextualSpacing/>
        <w:textAlignment w:val="center"/>
        <w:rPr>
          <w:rFonts w:eastAsia="黑体"/>
          <w:b w:val="0"/>
          <w:kern w:val="0"/>
          <w:sz w:val="32"/>
          <w:szCs w:val="32"/>
          <w:lang w:bidi="en-US"/>
        </w:rPr>
      </w:pPr>
      <w:bookmarkStart w:id="18" w:name="_Toc10851"/>
      <w:bookmarkStart w:id="19" w:name="_Toc12390"/>
      <w:r>
        <w:rPr>
          <w:rFonts w:eastAsia="黑体"/>
          <w:b w:val="0"/>
          <w:kern w:val="0"/>
          <w:sz w:val="32"/>
          <w:szCs w:val="32"/>
          <w:lang w:bidi="en-US"/>
        </w:rPr>
        <w:t>四、绩效评价指标分析</w:t>
      </w:r>
      <w:bookmarkEnd w:id="18"/>
      <w:bookmarkEnd w:id="19"/>
    </w:p>
    <w:p w14:paraId="20DC1044" w14:textId="77777777" w:rsidR="00B86571" w:rsidRDefault="00000000">
      <w:pPr>
        <w:spacing w:line="560" w:lineRule="exact"/>
        <w:ind w:firstLineChars="200" w:firstLine="640"/>
        <w:textAlignment w:val="center"/>
        <w:outlineLvl w:val="1"/>
        <w:rPr>
          <w:rFonts w:eastAsia="楷体"/>
          <w:sz w:val="32"/>
          <w:szCs w:val="32"/>
        </w:rPr>
      </w:pPr>
      <w:bookmarkStart w:id="20" w:name="_Toc12955"/>
      <w:bookmarkStart w:id="21" w:name="_Toc80630772"/>
      <w:bookmarkStart w:id="22" w:name="_Toc17754"/>
      <w:r>
        <w:rPr>
          <w:rFonts w:eastAsia="楷体"/>
          <w:sz w:val="32"/>
          <w:szCs w:val="32"/>
        </w:rPr>
        <w:t>（一）项目决策情况</w:t>
      </w:r>
      <w:bookmarkEnd w:id="20"/>
      <w:bookmarkEnd w:id="21"/>
      <w:bookmarkEnd w:id="22"/>
    </w:p>
    <w:p w14:paraId="3568CFFA"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lastRenderedPageBreak/>
        <w:t>1.</w:t>
      </w:r>
      <w:r>
        <w:rPr>
          <w:rFonts w:eastAsia="仿宋_GB2312"/>
          <w:color w:val="000000"/>
          <w:kern w:val="0"/>
          <w:sz w:val="32"/>
          <w:szCs w:val="32"/>
        </w:rPr>
        <w:t>项目立项情况</w:t>
      </w:r>
    </w:p>
    <w:p w14:paraId="10FF8A68"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）立项依据充分性</w:t>
      </w:r>
    </w:p>
    <w:p w14:paraId="366D706E" w14:textId="77777777" w:rsidR="00B86571" w:rsidRDefault="00000000">
      <w:pPr>
        <w:pStyle w:val="a0"/>
        <w:spacing w:line="560" w:lineRule="exact"/>
        <w:ind w:firstLineChars="200" w:firstLine="640"/>
        <w:rPr>
          <w:rFonts w:eastAsia="仿宋_GB2312"/>
          <w:sz w:val="32"/>
          <w:szCs w:val="32"/>
        </w:rPr>
      </w:pPr>
      <w:r>
        <w:rPr>
          <w:rFonts w:eastAsia="仿宋_GB2312" w:hint="eastAsia"/>
          <w:sz w:val="32"/>
          <w:szCs w:val="32"/>
        </w:rPr>
        <w:t>该项目设立符合《区域医疗中心建设试点工作方案》（发改社会〔</w:t>
      </w:r>
      <w:r>
        <w:rPr>
          <w:rFonts w:eastAsia="仿宋_GB2312" w:hint="eastAsia"/>
          <w:sz w:val="32"/>
          <w:szCs w:val="32"/>
        </w:rPr>
        <w:t>2019</w:t>
      </w:r>
      <w:r>
        <w:rPr>
          <w:rFonts w:eastAsia="仿宋_GB2312" w:hint="eastAsia"/>
          <w:sz w:val="32"/>
          <w:szCs w:val="32"/>
        </w:rPr>
        <w:t>〕</w:t>
      </w:r>
      <w:r>
        <w:rPr>
          <w:rFonts w:eastAsia="仿宋_GB2312" w:hint="eastAsia"/>
          <w:sz w:val="32"/>
          <w:szCs w:val="32"/>
        </w:rPr>
        <w:t>1670</w:t>
      </w:r>
      <w:r>
        <w:rPr>
          <w:rFonts w:eastAsia="仿宋_GB2312" w:hint="eastAsia"/>
          <w:sz w:val="32"/>
          <w:szCs w:val="32"/>
        </w:rPr>
        <w:t>号）中关于以国家医学中心为依托，通过建设分中心、分支机构，在患者流出多、医疗资源相对薄弱地区建设区域医疗中心的有关要求；符合《〈首都医科大学附属北京天坛医院“十四五”时期发展规划和二〇三五年远景目标〉重点任务实施分工方案和保障方案》关于推进优质医疗资源均衡布局，发挥国家医学中心和国家区域医疗中心的辐射带动作用的相关工作要求；与北京天坛医院“负责天坛医院河南医院的管理和运营”的职责相符；该项目内容</w:t>
      </w:r>
      <w:r>
        <w:rPr>
          <w:rFonts w:eastAsia="仿宋_GB2312"/>
          <w:color w:val="000000"/>
          <w:kern w:val="0"/>
          <w:sz w:val="32"/>
          <w:szCs w:val="32"/>
        </w:rPr>
        <w:t>具有</w:t>
      </w:r>
      <w:r>
        <w:rPr>
          <w:rFonts w:eastAsia="仿宋_GB2312" w:hint="eastAsia"/>
          <w:color w:val="000000"/>
          <w:kern w:val="0"/>
          <w:sz w:val="32"/>
          <w:szCs w:val="32"/>
        </w:rPr>
        <w:t>较强的</w:t>
      </w:r>
      <w:r>
        <w:rPr>
          <w:rFonts w:eastAsia="仿宋_GB2312"/>
          <w:color w:val="000000"/>
          <w:kern w:val="0"/>
          <w:sz w:val="32"/>
          <w:szCs w:val="32"/>
        </w:rPr>
        <w:t>公共性，属于公共财政的支持范围，</w:t>
      </w:r>
      <w:r>
        <w:rPr>
          <w:rFonts w:eastAsia="仿宋_GB2312" w:hint="eastAsia"/>
          <w:color w:val="000000"/>
          <w:kern w:val="0"/>
          <w:sz w:val="32"/>
          <w:szCs w:val="32"/>
        </w:rPr>
        <w:t>符合中央、地方事权支出责任划分原则</w:t>
      </w:r>
      <w:r>
        <w:rPr>
          <w:rFonts w:eastAsia="仿宋_GB2312"/>
          <w:color w:val="000000"/>
          <w:kern w:val="0"/>
          <w:sz w:val="32"/>
          <w:szCs w:val="32"/>
        </w:rPr>
        <w:t>。评价认为，该项目立项依据较为充分。</w:t>
      </w:r>
    </w:p>
    <w:p w14:paraId="1F7EEBBA"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）立项程序规范性</w:t>
      </w:r>
    </w:p>
    <w:p w14:paraId="63260826"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北京天坛医院根据天坛医院河南医院建设方案要点和中央对地方转移支付的有关要求，明确了项目的任务内容、目标定位、预期成效等内容，制定了该项目的年度绩效目标、工作计划、实施方案等内容，按照《首都医科大学附属北京天坛医院全面预算管理制度》（天医财字〔</w:t>
      </w:r>
      <w:r>
        <w:rPr>
          <w:rFonts w:eastAsia="仿宋_GB2312" w:hint="eastAsia"/>
          <w:sz w:val="32"/>
          <w:szCs w:val="32"/>
        </w:rPr>
        <w:t>2021</w:t>
      </w:r>
      <w:r>
        <w:rPr>
          <w:rFonts w:eastAsia="仿宋_GB2312" w:hint="eastAsia"/>
          <w:sz w:val="32"/>
          <w:szCs w:val="32"/>
        </w:rPr>
        <w:t>〕</w:t>
      </w:r>
      <w:r>
        <w:rPr>
          <w:rFonts w:eastAsia="仿宋_GB2312" w:hint="eastAsia"/>
          <w:sz w:val="32"/>
          <w:szCs w:val="32"/>
        </w:rPr>
        <w:t>35</w:t>
      </w:r>
      <w:r>
        <w:rPr>
          <w:rFonts w:eastAsia="仿宋_GB2312" w:hint="eastAsia"/>
          <w:sz w:val="32"/>
          <w:szCs w:val="32"/>
        </w:rPr>
        <w:t>号）规定的程序设立该项目。评价认为，该项目立项程序规范。</w:t>
      </w:r>
    </w:p>
    <w:p w14:paraId="451381E1"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项目绩效目标情况</w:t>
      </w:r>
    </w:p>
    <w:p w14:paraId="186A7A0B"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）绩效目标合理性</w:t>
      </w:r>
    </w:p>
    <w:p w14:paraId="47D8C1A7"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lastRenderedPageBreak/>
        <w:t>该项目总体目标</w:t>
      </w:r>
      <w:r>
        <w:rPr>
          <w:rFonts w:eastAsia="仿宋_GB2312" w:hint="eastAsia"/>
          <w:sz w:val="32"/>
          <w:szCs w:val="32"/>
        </w:rPr>
        <w:t>为“</w:t>
      </w:r>
      <w:r>
        <w:rPr>
          <w:rFonts w:eastAsia="仿宋_GB2312" w:hint="eastAsia"/>
          <w:sz w:val="32"/>
          <w:szCs w:val="32"/>
        </w:rPr>
        <w:t>2021</w:t>
      </w:r>
      <w:r>
        <w:rPr>
          <w:rFonts w:eastAsia="仿宋_GB2312" w:hint="eastAsia"/>
          <w:sz w:val="32"/>
          <w:szCs w:val="32"/>
        </w:rPr>
        <w:t>年，中央财政补助首都医科大学附属北京天坛医院</w:t>
      </w:r>
      <w:r>
        <w:rPr>
          <w:rFonts w:eastAsia="仿宋_GB2312" w:hint="eastAsia"/>
          <w:sz w:val="32"/>
          <w:szCs w:val="32"/>
        </w:rPr>
        <w:t>2,000</w:t>
      </w:r>
      <w:r>
        <w:rPr>
          <w:rFonts w:eastAsia="仿宋_GB2312" w:hint="eastAsia"/>
          <w:sz w:val="32"/>
          <w:szCs w:val="32"/>
        </w:rPr>
        <w:t>万元，支持其开展首都医科大学附属北京天坛医院河南医院建设。天坛医院将继续加强人才储备，为河南医院开展人才培养培训工作，推广适宜技术，提升输入医院医疗水平和管理水平”，明确了项目的实施主体、实施内容以及预期效益。评价认为，该项目绩效目标设置较为合理。</w:t>
      </w:r>
    </w:p>
    <w:p w14:paraId="6189EC59"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）绩效指标明确性</w:t>
      </w:r>
    </w:p>
    <w:p w14:paraId="033CF385"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2021</w:t>
      </w:r>
      <w:r>
        <w:rPr>
          <w:rFonts w:eastAsia="仿宋_GB2312" w:hint="eastAsia"/>
          <w:sz w:val="32"/>
          <w:szCs w:val="32"/>
        </w:rPr>
        <w:t>年</w:t>
      </w:r>
      <w:r>
        <w:rPr>
          <w:rFonts w:eastAsia="仿宋_GB2312" w:hint="eastAsia"/>
          <w:sz w:val="32"/>
          <w:szCs w:val="32"/>
        </w:rPr>
        <w:t>11</w:t>
      </w:r>
      <w:r>
        <w:rPr>
          <w:rFonts w:eastAsia="仿宋_GB2312" w:hint="eastAsia"/>
          <w:sz w:val="32"/>
          <w:szCs w:val="32"/>
        </w:rPr>
        <w:t>月，《财政部</w:t>
      </w:r>
      <w:r>
        <w:rPr>
          <w:rFonts w:eastAsia="仿宋_GB2312" w:hint="eastAsia"/>
          <w:sz w:val="32"/>
          <w:szCs w:val="32"/>
        </w:rPr>
        <w:t xml:space="preserve"> </w:t>
      </w:r>
      <w:r>
        <w:rPr>
          <w:rFonts w:eastAsia="仿宋_GB2312" w:hint="eastAsia"/>
          <w:sz w:val="32"/>
          <w:szCs w:val="32"/>
        </w:rPr>
        <w:t>国家卫生健康委关于下达</w:t>
      </w:r>
      <w:r>
        <w:rPr>
          <w:rFonts w:eastAsia="仿宋_GB2312" w:hint="eastAsia"/>
          <w:sz w:val="32"/>
          <w:szCs w:val="32"/>
        </w:rPr>
        <w:t>2021</w:t>
      </w:r>
      <w:r>
        <w:rPr>
          <w:rFonts w:eastAsia="仿宋_GB2312" w:hint="eastAsia"/>
          <w:sz w:val="32"/>
          <w:szCs w:val="32"/>
        </w:rPr>
        <w:t>年医疗服务与保障能力提升（第三批）补助资金预算的通知》（财社〔</w:t>
      </w:r>
      <w:r>
        <w:rPr>
          <w:rFonts w:eastAsia="仿宋_GB2312" w:hint="eastAsia"/>
          <w:sz w:val="32"/>
          <w:szCs w:val="32"/>
        </w:rPr>
        <w:t>2021</w:t>
      </w:r>
      <w:r>
        <w:rPr>
          <w:rFonts w:eastAsia="仿宋_GB2312" w:hint="eastAsia"/>
          <w:sz w:val="32"/>
          <w:szCs w:val="32"/>
        </w:rPr>
        <w:t>〕</w:t>
      </w:r>
      <w:r>
        <w:rPr>
          <w:rFonts w:eastAsia="仿宋_GB2312" w:hint="eastAsia"/>
          <w:sz w:val="32"/>
          <w:szCs w:val="32"/>
        </w:rPr>
        <w:t>142</w:t>
      </w:r>
      <w:r>
        <w:rPr>
          <w:rFonts w:eastAsia="仿宋_GB2312" w:hint="eastAsia"/>
          <w:sz w:val="32"/>
          <w:szCs w:val="32"/>
        </w:rPr>
        <w:t>号）下达了北京天坛医院医疗服务与保障能力提升（第三批）补助资金—区域医疗中心建设项目的中央对地方转移支付区域绩效目标表，北京天坛医院以此作为</w:t>
      </w:r>
      <w:r>
        <w:rPr>
          <w:rFonts w:eastAsia="仿宋_GB2312" w:hint="eastAsia"/>
          <w:sz w:val="32"/>
          <w:szCs w:val="32"/>
        </w:rPr>
        <w:t>2022</w:t>
      </w:r>
      <w:r>
        <w:rPr>
          <w:rFonts w:eastAsia="仿宋_GB2312" w:hint="eastAsia"/>
          <w:sz w:val="32"/>
          <w:szCs w:val="32"/>
        </w:rPr>
        <w:t>年度该项目的绩效目标表。该绩效目标表围绕产出数量、产出质量、社会效益及服务对象满意度分别设置了相应绩效指标，指标内容较为简洁、准确，指标值设置较为规范、合理，细化程度较高，且与指标内容相匹配，评价认为，该项目绩效指标较为明确。</w:t>
      </w:r>
    </w:p>
    <w:p w14:paraId="5456D8FB"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资金投入情况分析</w:t>
      </w:r>
    </w:p>
    <w:p w14:paraId="22CF00B6"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该项目预算共计</w:t>
      </w:r>
      <w:r>
        <w:rPr>
          <w:rFonts w:eastAsia="仿宋_GB2312" w:hint="eastAsia"/>
          <w:sz w:val="32"/>
          <w:szCs w:val="32"/>
        </w:rPr>
        <w:t>2,000</w:t>
      </w:r>
      <w:r>
        <w:rPr>
          <w:rFonts w:eastAsia="仿宋_GB2312" w:hint="eastAsia"/>
          <w:sz w:val="32"/>
          <w:szCs w:val="32"/>
        </w:rPr>
        <w:t>万元，其中，专用设备购置费用</w:t>
      </w:r>
      <w:r>
        <w:rPr>
          <w:rFonts w:eastAsia="仿宋_GB2312" w:hint="eastAsia"/>
          <w:sz w:val="32"/>
          <w:szCs w:val="32"/>
        </w:rPr>
        <w:t>1,450</w:t>
      </w:r>
      <w:r>
        <w:rPr>
          <w:rFonts w:eastAsia="仿宋_GB2312" w:hint="eastAsia"/>
          <w:sz w:val="32"/>
          <w:szCs w:val="32"/>
        </w:rPr>
        <w:t>万元，远程视频教育中心设备购置费用</w:t>
      </w:r>
      <w:r>
        <w:rPr>
          <w:rFonts w:eastAsia="仿宋_GB2312" w:hint="eastAsia"/>
          <w:sz w:val="32"/>
          <w:szCs w:val="32"/>
        </w:rPr>
        <w:t>250</w:t>
      </w:r>
      <w:r>
        <w:rPr>
          <w:rFonts w:eastAsia="仿宋_GB2312" w:hint="eastAsia"/>
          <w:sz w:val="32"/>
          <w:szCs w:val="32"/>
        </w:rPr>
        <w:t>万元，人才培养费用</w:t>
      </w:r>
      <w:r>
        <w:rPr>
          <w:rFonts w:eastAsia="仿宋_GB2312" w:hint="eastAsia"/>
          <w:sz w:val="32"/>
          <w:szCs w:val="32"/>
        </w:rPr>
        <w:t>200</w:t>
      </w:r>
      <w:r>
        <w:rPr>
          <w:rFonts w:eastAsia="仿宋_GB2312" w:hint="eastAsia"/>
          <w:sz w:val="32"/>
          <w:szCs w:val="32"/>
        </w:rPr>
        <w:t>万元，考察调研差旅费</w:t>
      </w:r>
      <w:r>
        <w:rPr>
          <w:rFonts w:eastAsia="仿宋_GB2312" w:hint="eastAsia"/>
          <w:sz w:val="32"/>
          <w:szCs w:val="32"/>
        </w:rPr>
        <w:t>50</w:t>
      </w:r>
      <w:r>
        <w:rPr>
          <w:rFonts w:eastAsia="仿宋_GB2312" w:hint="eastAsia"/>
          <w:sz w:val="32"/>
          <w:szCs w:val="32"/>
        </w:rPr>
        <w:t>万元，教学教具购置费用</w:t>
      </w:r>
      <w:r>
        <w:rPr>
          <w:rFonts w:eastAsia="仿宋_GB2312" w:hint="eastAsia"/>
          <w:sz w:val="32"/>
          <w:szCs w:val="32"/>
        </w:rPr>
        <w:t>50</w:t>
      </w:r>
      <w:r>
        <w:rPr>
          <w:rFonts w:eastAsia="仿宋_GB2312" w:hint="eastAsia"/>
          <w:sz w:val="32"/>
          <w:szCs w:val="32"/>
        </w:rPr>
        <w:t>万元。整体来看，仪器设备购置费用共计</w:t>
      </w:r>
      <w:r>
        <w:rPr>
          <w:rFonts w:eastAsia="仿宋_GB2312" w:hint="eastAsia"/>
          <w:sz w:val="32"/>
          <w:szCs w:val="32"/>
        </w:rPr>
        <w:t>1,750</w:t>
      </w:r>
      <w:r>
        <w:rPr>
          <w:rFonts w:eastAsia="仿宋_GB2312" w:hint="eastAsia"/>
          <w:sz w:val="32"/>
          <w:szCs w:val="32"/>
        </w:rPr>
        <w:t>万元，占比</w:t>
      </w:r>
      <w:r>
        <w:rPr>
          <w:rFonts w:eastAsia="仿宋_GB2312" w:hint="eastAsia"/>
          <w:sz w:val="32"/>
          <w:szCs w:val="32"/>
        </w:rPr>
        <w:t>87.50%</w:t>
      </w:r>
      <w:r>
        <w:rPr>
          <w:rFonts w:eastAsia="仿宋_GB2312" w:hint="eastAsia"/>
          <w:sz w:val="32"/>
          <w:szCs w:val="32"/>
        </w:rPr>
        <w:t>，人才培养费用占比</w:t>
      </w:r>
      <w:r>
        <w:rPr>
          <w:rFonts w:eastAsia="仿宋_GB2312" w:hint="eastAsia"/>
          <w:sz w:val="32"/>
          <w:szCs w:val="32"/>
        </w:rPr>
        <w:t>10%</w:t>
      </w:r>
      <w:r>
        <w:rPr>
          <w:rFonts w:eastAsia="仿宋_GB2312" w:hint="eastAsia"/>
          <w:sz w:val="32"/>
          <w:szCs w:val="32"/>
        </w:rPr>
        <w:t>，考察调研差旅费用占比</w:t>
      </w:r>
      <w:r>
        <w:rPr>
          <w:rFonts w:eastAsia="仿宋_GB2312" w:hint="eastAsia"/>
          <w:sz w:val="32"/>
          <w:szCs w:val="32"/>
        </w:rPr>
        <w:t>2.50%</w:t>
      </w:r>
      <w:r>
        <w:rPr>
          <w:rFonts w:eastAsia="仿宋_GB2312" w:hint="eastAsia"/>
          <w:sz w:val="32"/>
          <w:szCs w:val="32"/>
        </w:rPr>
        <w:t>，</w:t>
      </w:r>
      <w:bookmarkStart w:id="23" w:name="_Hlk137485053"/>
      <w:r>
        <w:rPr>
          <w:rFonts w:eastAsia="仿宋_GB2312" w:hint="eastAsia"/>
          <w:sz w:val="32"/>
          <w:szCs w:val="32"/>
        </w:rPr>
        <w:t>资金分配</w:t>
      </w:r>
      <w:r>
        <w:rPr>
          <w:rFonts w:eastAsia="仿宋_GB2312" w:hint="eastAsia"/>
          <w:sz w:val="32"/>
          <w:szCs w:val="32"/>
        </w:rPr>
        <w:lastRenderedPageBreak/>
        <w:t>与转移支付资金支持输出医院加强人才储备培养的目标不够匹配，</w:t>
      </w:r>
      <w:r>
        <w:rPr>
          <w:rFonts w:ascii="仿宋_GB2312" w:eastAsia="仿宋_GB2312" w:hAnsi="仿宋_GB2312" w:cs="仿宋_GB2312" w:hint="eastAsia"/>
          <w:sz w:val="32"/>
          <w:szCs w:val="32"/>
        </w:rPr>
        <w:t>项目资金分配原则不够明确，预算编制、资金分配的科学性不足。</w:t>
      </w:r>
    </w:p>
    <w:p w14:paraId="7A5B0355" w14:textId="77777777" w:rsidR="00B86571" w:rsidRDefault="00000000">
      <w:pPr>
        <w:spacing w:line="560" w:lineRule="exact"/>
        <w:ind w:firstLineChars="200" w:firstLine="640"/>
        <w:textAlignment w:val="center"/>
        <w:outlineLvl w:val="1"/>
        <w:rPr>
          <w:rFonts w:eastAsia="楷体"/>
          <w:sz w:val="32"/>
          <w:szCs w:val="32"/>
        </w:rPr>
      </w:pPr>
      <w:bookmarkStart w:id="24" w:name="_Toc3666"/>
      <w:bookmarkStart w:id="25" w:name="_Toc32180"/>
      <w:bookmarkStart w:id="26" w:name="_Toc80630773"/>
      <w:bookmarkEnd w:id="23"/>
      <w:r>
        <w:rPr>
          <w:rFonts w:eastAsia="楷体"/>
          <w:sz w:val="32"/>
          <w:szCs w:val="32"/>
        </w:rPr>
        <w:t>（二）项目过程情况</w:t>
      </w:r>
      <w:bookmarkEnd w:id="24"/>
      <w:bookmarkEnd w:id="25"/>
      <w:bookmarkEnd w:id="26"/>
    </w:p>
    <w:p w14:paraId="109BBD15"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资金使用及管理情况</w:t>
      </w:r>
    </w:p>
    <w:p w14:paraId="41B18301"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）资金到位及执行情况</w:t>
      </w:r>
    </w:p>
    <w:p w14:paraId="51FB95EE"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202</w:t>
      </w:r>
      <w:r>
        <w:rPr>
          <w:rFonts w:eastAsia="仿宋_GB2312" w:hint="eastAsia"/>
          <w:sz w:val="32"/>
          <w:szCs w:val="32"/>
        </w:rPr>
        <w:t>1</w:t>
      </w:r>
      <w:r>
        <w:rPr>
          <w:rFonts w:eastAsia="仿宋_GB2312"/>
          <w:sz w:val="32"/>
          <w:szCs w:val="32"/>
        </w:rPr>
        <w:t>年</w:t>
      </w:r>
      <w:r>
        <w:rPr>
          <w:rFonts w:eastAsia="仿宋_GB2312" w:hint="eastAsia"/>
          <w:sz w:val="32"/>
          <w:szCs w:val="32"/>
        </w:rPr>
        <w:t>12</w:t>
      </w:r>
      <w:r>
        <w:rPr>
          <w:rFonts w:eastAsia="仿宋_GB2312" w:hint="eastAsia"/>
          <w:sz w:val="32"/>
          <w:szCs w:val="32"/>
        </w:rPr>
        <w:t>月，</w:t>
      </w:r>
      <w:r>
        <w:rPr>
          <w:rFonts w:eastAsia="仿宋_GB2312"/>
          <w:sz w:val="32"/>
          <w:szCs w:val="32"/>
        </w:rPr>
        <w:t>该项目</w:t>
      </w:r>
      <w:r>
        <w:rPr>
          <w:rFonts w:eastAsia="仿宋_GB2312" w:hint="eastAsia"/>
          <w:sz w:val="32"/>
          <w:szCs w:val="32"/>
        </w:rPr>
        <w:t>预算批复及到位资金</w:t>
      </w:r>
      <w:r>
        <w:rPr>
          <w:rFonts w:eastAsia="仿宋_GB2312" w:hint="eastAsia"/>
          <w:sz w:val="32"/>
          <w:szCs w:val="32"/>
        </w:rPr>
        <w:t>2,000</w:t>
      </w:r>
      <w:r>
        <w:rPr>
          <w:rFonts w:eastAsia="仿宋_GB2312" w:hint="eastAsia"/>
          <w:sz w:val="32"/>
          <w:szCs w:val="32"/>
        </w:rPr>
        <w:t>万元，主要用于支持天坛医院河南医院的建设，提升天坛医院河南医院的医疗水平和管理水平。截至</w:t>
      </w:r>
      <w:r>
        <w:rPr>
          <w:rFonts w:eastAsia="仿宋_GB2312" w:hint="eastAsia"/>
          <w:sz w:val="32"/>
          <w:szCs w:val="32"/>
        </w:rPr>
        <w:t>2022</w:t>
      </w:r>
      <w:r>
        <w:rPr>
          <w:rFonts w:eastAsia="仿宋_GB2312" w:hint="eastAsia"/>
          <w:sz w:val="32"/>
          <w:szCs w:val="32"/>
        </w:rPr>
        <w:t>年底，专用设备购置支出</w:t>
      </w:r>
      <w:r>
        <w:rPr>
          <w:rFonts w:eastAsia="仿宋_GB2312" w:hint="eastAsia"/>
          <w:sz w:val="32"/>
          <w:szCs w:val="32"/>
        </w:rPr>
        <w:t>1,393.27</w:t>
      </w:r>
      <w:r>
        <w:rPr>
          <w:rFonts w:eastAsia="仿宋_GB2312" w:hint="eastAsia"/>
          <w:sz w:val="32"/>
          <w:szCs w:val="32"/>
        </w:rPr>
        <w:t>万元，远程视频教育中心设备购置支出</w:t>
      </w:r>
      <w:r>
        <w:rPr>
          <w:rFonts w:eastAsia="仿宋_GB2312" w:hint="eastAsia"/>
          <w:sz w:val="32"/>
          <w:szCs w:val="32"/>
        </w:rPr>
        <w:t>247.29</w:t>
      </w:r>
      <w:r>
        <w:rPr>
          <w:rFonts w:eastAsia="仿宋_GB2312" w:hint="eastAsia"/>
          <w:sz w:val="32"/>
          <w:szCs w:val="32"/>
        </w:rPr>
        <w:t>万元，人才培养费用支出</w:t>
      </w:r>
      <w:r>
        <w:rPr>
          <w:rFonts w:eastAsia="仿宋_GB2312" w:hint="eastAsia"/>
          <w:sz w:val="32"/>
          <w:szCs w:val="32"/>
        </w:rPr>
        <w:t>200</w:t>
      </w:r>
      <w:r>
        <w:rPr>
          <w:rFonts w:eastAsia="仿宋_GB2312" w:hint="eastAsia"/>
          <w:sz w:val="32"/>
          <w:szCs w:val="32"/>
        </w:rPr>
        <w:t>万元，教学器械购置支出</w:t>
      </w:r>
      <w:r>
        <w:rPr>
          <w:rFonts w:eastAsia="仿宋_GB2312" w:hint="eastAsia"/>
          <w:sz w:val="32"/>
          <w:szCs w:val="32"/>
        </w:rPr>
        <w:t>49.68</w:t>
      </w:r>
      <w:r>
        <w:rPr>
          <w:rFonts w:eastAsia="仿宋_GB2312" w:hint="eastAsia"/>
          <w:sz w:val="32"/>
          <w:szCs w:val="32"/>
        </w:rPr>
        <w:t>万元，差旅费支出</w:t>
      </w:r>
      <w:r>
        <w:rPr>
          <w:rFonts w:eastAsia="仿宋_GB2312" w:hint="eastAsia"/>
          <w:sz w:val="32"/>
          <w:szCs w:val="32"/>
        </w:rPr>
        <w:t>3.66</w:t>
      </w:r>
      <w:r>
        <w:rPr>
          <w:rFonts w:eastAsia="仿宋_GB2312" w:hint="eastAsia"/>
          <w:sz w:val="32"/>
          <w:szCs w:val="32"/>
        </w:rPr>
        <w:t>万元，防疫物资购置支出</w:t>
      </w:r>
      <w:r>
        <w:rPr>
          <w:rFonts w:eastAsia="仿宋_GB2312" w:hint="eastAsia"/>
          <w:sz w:val="32"/>
          <w:szCs w:val="32"/>
        </w:rPr>
        <w:t>46.34</w:t>
      </w:r>
      <w:r>
        <w:rPr>
          <w:rFonts w:eastAsia="仿宋_GB2312" w:hint="eastAsia"/>
          <w:sz w:val="32"/>
          <w:szCs w:val="32"/>
        </w:rPr>
        <w:t>万元，综上，该项目共计支出</w:t>
      </w:r>
      <w:r>
        <w:rPr>
          <w:rFonts w:eastAsia="仿宋_GB2312" w:hint="eastAsia"/>
          <w:sz w:val="32"/>
          <w:szCs w:val="32"/>
        </w:rPr>
        <w:t>1,940.24</w:t>
      </w:r>
      <w:r>
        <w:rPr>
          <w:rFonts w:eastAsia="仿宋_GB2312" w:hint="eastAsia"/>
          <w:sz w:val="32"/>
          <w:szCs w:val="32"/>
        </w:rPr>
        <w:t>万元，预算执行率为</w:t>
      </w:r>
      <w:r>
        <w:rPr>
          <w:rFonts w:eastAsia="仿宋_GB2312" w:hint="eastAsia"/>
          <w:sz w:val="32"/>
          <w:szCs w:val="32"/>
        </w:rPr>
        <w:t>97.01%</w:t>
      </w:r>
      <w:r>
        <w:rPr>
          <w:rFonts w:eastAsia="仿宋_GB2312" w:hint="eastAsia"/>
          <w:sz w:val="32"/>
          <w:szCs w:val="32"/>
        </w:rPr>
        <w:t>。评价认为，该项目预算到位和执行情况较好，但资金使用合规性不足，</w:t>
      </w:r>
      <w:bookmarkStart w:id="27" w:name="_Hlk137485046"/>
      <w:r>
        <w:rPr>
          <w:rFonts w:eastAsia="仿宋_GB2312" w:hint="eastAsia"/>
          <w:sz w:val="32"/>
          <w:szCs w:val="32"/>
        </w:rPr>
        <w:t>该项目购置防疫物资</w:t>
      </w:r>
      <w:r>
        <w:rPr>
          <w:rFonts w:eastAsia="仿宋_GB2312" w:hint="eastAsia"/>
          <w:sz w:val="32"/>
          <w:szCs w:val="32"/>
        </w:rPr>
        <w:t>46.34</w:t>
      </w:r>
      <w:r>
        <w:rPr>
          <w:rFonts w:eastAsia="仿宋_GB2312" w:hint="eastAsia"/>
          <w:sz w:val="32"/>
          <w:szCs w:val="32"/>
        </w:rPr>
        <w:t>万元，该部分支出并未在预算中体现，且与项目实施内容的匹配性不足，不应纳入该项目的支持范围。</w:t>
      </w:r>
      <w:bookmarkEnd w:id="27"/>
    </w:p>
    <w:p w14:paraId="3BB399C3"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）资金管理情况</w:t>
      </w:r>
    </w:p>
    <w:p w14:paraId="741EA08F"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北京天坛医院为确保项目资金能够按计划完成支出，北京天坛医院财务处自</w:t>
      </w:r>
      <w:r>
        <w:rPr>
          <w:rFonts w:eastAsia="仿宋_GB2312" w:hint="eastAsia"/>
          <w:sz w:val="32"/>
          <w:szCs w:val="32"/>
        </w:rPr>
        <w:t>2022</w:t>
      </w:r>
      <w:r>
        <w:rPr>
          <w:rFonts w:eastAsia="仿宋_GB2312" w:hint="eastAsia"/>
          <w:sz w:val="32"/>
          <w:szCs w:val="32"/>
        </w:rPr>
        <w:t>年</w:t>
      </w:r>
      <w:r>
        <w:rPr>
          <w:rFonts w:eastAsia="仿宋_GB2312" w:hint="eastAsia"/>
          <w:sz w:val="32"/>
          <w:szCs w:val="32"/>
        </w:rPr>
        <w:t>6</w:t>
      </w:r>
      <w:r>
        <w:rPr>
          <w:rFonts w:eastAsia="仿宋_GB2312" w:hint="eastAsia"/>
          <w:sz w:val="32"/>
          <w:szCs w:val="32"/>
        </w:rPr>
        <w:t>月起，每月编制财政资金支出月报，牵头科室填报项目资金支出统计表，报送当月项目资金支出金额、次月支出计划及未完成上月填报计划原因；当项目执行过程中出现问题，及时召开科室间协调会议，商议对策、解决问题；当资</w:t>
      </w:r>
      <w:r>
        <w:rPr>
          <w:rFonts w:eastAsia="仿宋_GB2312" w:hint="eastAsia"/>
          <w:sz w:val="32"/>
          <w:szCs w:val="32"/>
        </w:rPr>
        <w:lastRenderedPageBreak/>
        <w:t>金支出计划发生调整时，及时由牵头科室编制预算调整草案，提请北京天坛医院院长办公会审议；通过以上多重措施，保障项目顺利实施。评价认为，该项目资金管理办法及措施较为充分，</w:t>
      </w:r>
      <w:bookmarkStart w:id="28" w:name="_Hlk137485063"/>
      <w:r>
        <w:rPr>
          <w:rFonts w:eastAsia="仿宋_GB2312" w:hint="eastAsia"/>
          <w:sz w:val="32"/>
          <w:szCs w:val="32"/>
        </w:rPr>
        <w:t>但资金管理不够规范，该项目购置的细胞生物反应器、冷冻干燥机、凝胶成像分析系统等专用设备截至评价日未完成验收，远程视频教育中心设备受</w:t>
      </w:r>
      <w:r>
        <w:rPr>
          <w:rFonts w:eastAsia="仿宋_GB2312" w:hint="eastAsia"/>
          <w:sz w:val="32"/>
          <w:szCs w:val="32"/>
        </w:rPr>
        <w:t>4</w:t>
      </w:r>
      <w:r>
        <w:rPr>
          <w:rFonts w:eastAsia="仿宋_GB2312" w:hint="eastAsia"/>
          <w:sz w:val="32"/>
          <w:szCs w:val="32"/>
        </w:rPr>
        <w:t>·</w:t>
      </w:r>
      <w:r>
        <w:rPr>
          <w:rFonts w:eastAsia="仿宋_GB2312" w:hint="eastAsia"/>
          <w:sz w:val="32"/>
          <w:szCs w:val="32"/>
        </w:rPr>
        <w:t>18</w:t>
      </w:r>
      <w:r>
        <w:rPr>
          <w:rFonts w:eastAsia="仿宋_GB2312" w:hint="eastAsia"/>
          <w:sz w:val="32"/>
          <w:szCs w:val="32"/>
        </w:rPr>
        <w:t>北京长峰医院火灾影响未完成调试和验收，但已完成全部资金支付，未按合同规定的验收、结算程序执行。</w:t>
      </w:r>
    </w:p>
    <w:bookmarkEnd w:id="28"/>
    <w:p w14:paraId="56027C2B"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项目组织实施情况</w:t>
      </w:r>
    </w:p>
    <w:p w14:paraId="38625EF4"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）项目组织情况</w:t>
      </w:r>
    </w:p>
    <w:p w14:paraId="30E18E9C" w14:textId="77777777" w:rsidR="00B86571" w:rsidRDefault="00000000">
      <w:pPr>
        <w:spacing w:line="560" w:lineRule="exact"/>
        <w:ind w:firstLineChars="200" w:firstLine="640"/>
        <w:textAlignment w:val="center"/>
        <w:rPr>
          <w:rFonts w:eastAsia="仿宋_GB2312"/>
          <w:color w:val="000000"/>
          <w:kern w:val="0"/>
          <w:sz w:val="32"/>
          <w:szCs w:val="32"/>
        </w:rPr>
      </w:pPr>
      <w:r>
        <w:rPr>
          <w:rFonts w:eastAsia="仿宋_GB2312" w:hint="eastAsia"/>
          <w:color w:val="000000"/>
          <w:kern w:val="0"/>
          <w:sz w:val="32"/>
          <w:szCs w:val="32"/>
        </w:rPr>
        <w:t>由于天坛医院河南医院正处于建设过程中，北京天坛医院与郑大一附院联合成立“北京天坛医院河南医院过渡期建设领导小组”，主要由北京天坛医院和郑大一附院主要领导和分管领导组成，以加强工作指导和效果评估，统筹推进各项措施落实到位，保障天坛医院河南医院建设的有序进行。本项目执行过程中，通过招标采购的方式，遴选设备采购服务商，采购项目所需的仪器设备。</w:t>
      </w:r>
    </w:p>
    <w:p w14:paraId="5828B396"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）项目管理情况</w:t>
      </w:r>
    </w:p>
    <w:p w14:paraId="2C7E752F"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北京天坛医院在</w:t>
      </w:r>
      <w:r>
        <w:rPr>
          <w:rFonts w:eastAsia="仿宋_GB2312"/>
          <w:sz w:val="32"/>
          <w:szCs w:val="32"/>
        </w:rPr>
        <w:t>申请设立项目</w:t>
      </w:r>
      <w:r>
        <w:rPr>
          <w:rFonts w:eastAsia="仿宋_GB2312" w:hint="eastAsia"/>
          <w:sz w:val="32"/>
          <w:szCs w:val="32"/>
        </w:rPr>
        <w:t>时</w:t>
      </w:r>
      <w:r>
        <w:rPr>
          <w:rFonts w:eastAsia="仿宋_GB2312"/>
          <w:sz w:val="32"/>
          <w:szCs w:val="32"/>
        </w:rPr>
        <w:t>明确了项目的预期绩效目标、预算安排</w:t>
      </w:r>
      <w:r>
        <w:rPr>
          <w:rFonts w:eastAsia="仿宋_GB2312" w:hint="eastAsia"/>
          <w:sz w:val="32"/>
          <w:szCs w:val="32"/>
        </w:rPr>
        <w:t>、工作计划</w:t>
      </w:r>
      <w:r>
        <w:rPr>
          <w:rFonts w:eastAsia="仿宋_GB2312"/>
          <w:sz w:val="32"/>
          <w:szCs w:val="32"/>
        </w:rPr>
        <w:t>等内容。</w:t>
      </w:r>
      <w:r>
        <w:rPr>
          <w:rFonts w:eastAsia="仿宋_GB2312" w:hint="eastAsia"/>
          <w:sz w:val="32"/>
          <w:szCs w:val="32"/>
        </w:rPr>
        <w:t>同时，根据《神经系统疾病国家区域医疗中心过渡时期建设方案》（天坛医院河南医院）的各项要求，开展天坛医院河南医院建设工作。项目实施过程中，北</w:t>
      </w:r>
      <w:r>
        <w:rPr>
          <w:rFonts w:eastAsia="仿宋_GB2312" w:hint="eastAsia"/>
          <w:sz w:val="32"/>
          <w:szCs w:val="32"/>
        </w:rPr>
        <w:lastRenderedPageBreak/>
        <w:t>京天坛医院根据设备需求论证制定采购计划，通过招标采购的方式，确定设备采购服务商，购买所需的仪器设备；根据年度绩效指标，完成人才培养、技术推广、项目指导等工作任务，提升天坛医院河南医院的医疗和管理水平。评价认为，该项目组织管理过程较为清晰，但实施方案有效性不足，</w:t>
      </w:r>
      <w:bookmarkStart w:id="29" w:name="_Hlk137485074"/>
      <w:r>
        <w:rPr>
          <w:rFonts w:eastAsia="仿宋_GB2312" w:hint="eastAsia"/>
          <w:sz w:val="32"/>
          <w:szCs w:val="32"/>
        </w:rPr>
        <w:t>该项目提供的实施方案为《首都医科大学附属北京天坛医院河南医院过渡期工作推进方案》，该方案主要明确了天坛医院河南医院建设过渡期北京天坛医院和郑大一附院的相关工作任务，但该实施方案中的实施内容与该项目内容匹配性不足，且该实施方案发布时间为</w:t>
      </w:r>
      <w:r>
        <w:rPr>
          <w:rFonts w:eastAsia="仿宋_GB2312" w:hint="eastAsia"/>
          <w:sz w:val="32"/>
          <w:szCs w:val="32"/>
        </w:rPr>
        <w:t>2022</w:t>
      </w:r>
      <w:r>
        <w:rPr>
          <w:rFonts w:eastAsia="仿宋_GB2312" w:hint="eastAsia"/>
          <w:sz w:val="32"/>
          <w:szCs w:val="32"/>
        </w:rPr>
        <w:t>年</w:t>
      </w:r>
      <w:r>
        <w:rPr>
          <w:rFonts w:eastAsia="仿宋_GB2312" w:hint="eastAsia"/>
          <w:sz w:val="32"/>
          <w:szCs w:val="32"/>
        </w:rPr>
        <w:t>9</w:t>
      </w:r>
      <w:r>
        <w:rPr>
          <w:rFonts w:eastAsia="仿宋_GB2312" w:hint="eastAsia"/>
          <w:sz w:val="32"/>
          <w:szCs w:val="32"/>
        </w:rPr>
        <w:t>月，发布时间较为滞后，对该项目的指导性不足。</w:t>
      </w:r>
    </w:p>
    <w:p w14:paraId="0A6250F0" w14:textId="77777777" w:rsidR="00B86571" w:rsidRDefault="00000000">
      <w:pPr>
        <w:spacing w:line="560" w:lineRule="exact"/>
        <w:ind w:firstLineChars="200" w:firstLine="640"/>
        <w:textAlignment w:val="center"/>
        <w:outlineLvl w:val="1"/>
        <w:rPr>
          <w:rFonts w:eastAsia="楷体"/>
          <w:sz w:val="32"/>
          <w:szCs w:val="32"/>
        </w:rPr>
      </w:pPr>
      <w:bookmarkStart w:id="30" w:name="_Toc80630774"/>
      <w:bookmarkStart w:id="31" w:name="_Toc7295"/>
      <w:bookmarkStart w:id="32" w:name="_Toc2543"/>
      <w:bookmarkEnd w:id="29"/>
      <w:r>
        <w:rPr>
          <w:rFonts w:eastAsia="楷体"/>
          <w:sz w:val="32"/>
          <w:szCs w:val="32"/>
        </w:rPr>
        <w:t>（三）项目产出情况</w:t>
      </w:r>
      <w:bookmarkEnd w:id="30"/>
      <w:bookmarkEnd w:id="31"/>
      <w:bookmarkEnd w:id="32"/>
    </w:p>
    <w:p w14:paraId="78C7B7E3"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项目实际完成情况</w:t>
      </w:r>
    </w:p>
    <w:p w14:paraId="20E68238"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该项目</w:t>
      </w:r>
      <w:r>
        <w:rPr>
          <w:rFonts w:eastAsia="仿宋_GB2312" w:hint="eastAsia"/>
          <w:sz w:val="32"/>
          <w:szCs w:val="32"/>
        </w:rPr>
        <w:t>主要产出为加强天坛医院河南医院的人才储备，为天坛医院河南医院开展人才培养培训工作，推广适宜技术，指导并开展适宜项目。</w:t>
      </w:r>
      <w:r>
        <w:rPr>
          <w:rFonts w:eastAsia="仿宋_GB2312" w:hint="eastAsia"/>
          <w:sz w:val="32"/>
          <w:szCs w:val="32"/>
        </w:rPr>
        <w:t>2022</w:t>
      </w:r>
      <w:r>
        <w:rPr>
          <w:rFonts w:eastAsia="仿宋_GB2312" w:hint="eastAsia"/>
          <w:sz w:val="32"/>
          <w:szCs w:val="32"/>
        </w:rPr>
        <w:t>年，该项目已完成为天坛医院河南医院培养专业技术人才、开展临床新技术、指导开展新项目等工作。评价认为，该项目整体完成情况较好。</w:t>
      </w:r>
    </w:p>
    <w:p w14:paraId="461E5079"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项目完成质量</w:t>
      </w:r>
    </w:p>
    <w:p w14:paraId="1401F94B" w14:textId="77777777" w:rsidR="00B86571" w:rsidRDefault="00000000">
      <w:pPr>
        <w:pStyle w:val="10"/>
        <w:spacing w:after="0" w:line="560" w:lineRule="exact"/>
        <w:ind w:firstLineChars="200" w:firstLine="640"/>
        <w:textAlignment w:val="center"/>
        <w:rPr>
          <w:rFonts w:eastAsia="仿宋_GB2312"/>
          <w:sz w:val="32"/>
          <w:szCs w:val="32"/>
        </w:rPr>
      </w:pPr>
      <w:r>
        <w:rPr>
          <w:rFonts w:eastAsia="仿宋_GB2312"/>
          <w:sz w:val="32"/>
          <w:szCs w:val="32"/>
        </w:rPr>
        <w:t>该项目</w:t>
      </w:r>
      <w:r>
        <w:rPr>
          <w:rFonts w:eastAsia="仿宋_GB2312" w:hint="eastAsia"/>
          <w:sz w:val="32"/>
          <w:szCs w:val="32"/>
        </w:rPr>
        <w:t>预期产出质量指标为“指导提升天坛医院河南医院管理水平：较上年提高或科学制定医院管理有关章程制度”，</w:t>
      </w:r>
      <w:r>
        <w:rPr>
          <w:rFonts w:eastAsia="仿宋_GB2312" w:hint="eastAsia"/>
          <w:sz w:val="32"/>
          <w:szCs w:val="32"/>
        </w:rPr>
        <w:t>2022</w:t>
      </w:r>
      <w:r>
        <w:rPr>
          <w:rFonts w:eastAsia="仿宋_GB2312" w:hint="eastAsia"/>
          <w:sz w:val="32"/>
          <w:szCs w:val="32"/>
        </w:rPr>
        <w:t>年，北京天坛医院与郑大一附院联合制定了《首都医科大学附属北京天坛医院河南医院过渡期工作推进方案》，明确了天坛医院</w:t>
      </w:r>
      <w:r>
        <w:rPr>
          <w:rFonts w:eastAsia="仿宋_GB2312" w:hint="eastAsia"/>
          <w:sz w:val="32"/>
          <w:szCs w:val="32"/>
        </w:rPr>
        <w:lastRenderedPageBreak/>
        <w:t>河南医院的管理及工作内容，有助于提升天坛医院河南医院的管理水平。但项目实际完成质量情况呈现不足，部分购置仪器暂未验收入库，仪器设备质量情况不清晰，项目质量的可考核性不足。</w:t>
      </w:r>
    </w:p>
    <w:p w14:paraId="2AC562BA"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项目实施进度</w:t>
      </w:r>
    </w:p>
    <w:p w14:paraId="7169410D"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8</w:t>
      </w:r>
      <w:r>
        <w:rPr>
          <w:rFonts w:eastAsia="仿宋_GB2312" w:hint="eastAsia"/>
          <w:sz w:val="32"/>
          <w:szCs w:val="32"/>
        </w:rPr>
        <w:t>月该项目完成了招标公示，</w:t>
      </w:r>
      <w:r>
        <w:rPr>
          <w:rFonts w:eastAsia="仿宋_GB2312" w:hint="eastAsia"/>
          <w:sz w:val="32"/>
          <w:szCs w:val="32"/>
        </w:rPr>
        <w:t>10</w:t>
      </w:r>
      <w:r>
        <w:rPr>
          <w:rFonts w:eastAsia="仿宋_GB2312" w:hint="eastAsia"/>
          <w:sz w:val="32"/>
          <w:szCs w:val="32"/>
        </w:rPr>
        <w:t>月</w:t>
      </w:r>
      <w:r>
        <w:rPr>
          <w:rFonts w:eastAsia="仿宋_GB2312" w:hint="eastAsia"/>
          <w:sz w:val="32"/>
          <w:szCs w:val="32"/>
        </w:rPr>
        <w:t>-11</w:t>
      </w:r>
      <w:r>
        <w:rPr>
          <w:rFonts w:eastAsia="仿宋_GB2312" w:hint="eastAsia"/>
          <w:sz w:val="32"/>
          <w:szCs w:val="32"/>
        </w:rPr>
        <w:t>月发布了招标采购公告，</w:t>
      </w:r>
      <w:r>
        <w:rPr>
          <w:rFonts w:eastAsia="仿宋_GB2312" w:hint="eastAsia"/>
          <w:sz w:val="32"/>
          <w:szCs w:val="32"/>
        </w:rPr>
        <w:t>12</w:t>
      </w:r>
      <w:r>
        <w:rPr>
          <w:rFonts w:eastAsia="仿宋_GB2312" w:hint="eastAsia"/>
          <w:sz w:val="32"/>
          <w:szCs w:val="32"/>
        </w:rPr>
        <w:t>月完成全部招投标工作。截至</w:t>
      </w:r>
      <w:r>
        <w:rPr>
          <w:rFonts w:eastAsia="仿宋_GB2312" w:hint="eastAsia"/>
          <w:sz w:val="32"/>
          <w:szCs w:val="32"/>
        </w:rPr>
        <w:t>2023</w:t>
      </w:r>
      <w:r>
        <w:rPr>
          <w:rFonts w:eastAsia="仿宋_GB2312" w:hint="eastAsia"/>
          <w:sz w:val="32"/>
          <w:szCs w:val="32"/>
        </w:rPr>
        <w:t>年</w:t>
      </w:r>
      <w:r>
        <w:rPr>
          <w:rFonts w:eastAsia="仿宋_GB2312" w:hint="eastAsia"/>
          <w:sz w:val="32"/>
          <w:szCs w:val="32"/>
        </w:rPr>
        <w:t>4</w:t>
      </w:r>
      <w:r>
        <w:rPr>
          <w:rFonts w:eastAsia="仿宋_GB2312" w:hint="eastAsia"/>
          <w:sz w:val="32"/>
          <w:szCs w:val="32"/>
        </w:rPr>
        <w:t>月，该项目已到货的设备已完成验收，由于新冠疫情影响，部分进口设备购置周期较计划有所延长，目前暂未完成验收；远程视频教育中心设备调试工作暂停，需待设备调试完成后进行验收。评价认为，该项目整体验收工作暂未完成，项目实施进度较为滞后。</w:t>
      </w:r>
    </w:p>
    <w:p w14:paraId="6DF17480"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项目成本控制情况</w:t>
      </w:r>
    </w:p>
    <w:p w14:paraId="630F382D"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该项目</w:t>
      </w:r>
      <w:r>
        <w:rPr>
          <w:rFonts w:eastAsia="仿宋_GB2312" w:hint="eastAsia"/>
          <w:sz w:val="32"/>
          <w:szCs w:val="32"/>
        </w:rPr>
        <w:t>根据《首都医科大学附属北京天坛医院支出管理制度》严格控制项目成本，明确各类支出事项不同的定额标准，加强成本管理，避免产生资金浪费。评价认为，该项目成本控制情况较好。</w:t>
      </w:r>
    </w:p>
    <w:p w14:paraId="59EB02EB" w14:textId="77777777" w:rsidR="00B86571" w:rsidRDefault="00000000">
      <w:pPr>
        <w:spacing w:line="560" w:lineRule="exact"/>
        <w:ind w:firstLineChars="200" w:firstLine="640"/>
        <w:textAlignment w:val="center"/>
        <w:outlineLvl w:val="1"/>
        <w:rPr>
          <w:rFonts w:eastAsia="楷体"/>
          <w:sz w:val="32"/>
          <w:szCs w:val="32"/>
        </w:rPr>
      </w:pPr>
      <w:bookmarkStart w:id="33" w:name="_Toc21158"/>
      <w:bookmarkStart w:id="34" w:name="_Toc80630775"/>
      <w:bookmarkStart w:id="35" w:name="_Toc13470"/>
      <w:r>
        <w:rPr>
          <w:rFonts w:eastAsia="楷体"/>
          <w:sz w:val="32"/>
          <w:szCs w:val="32"/>
        </w:rPr>
        <w:t>（四）项目效益情况</w:t>
      </w:r>
      <w:bookmarkEnd w:id="33"/>
      <w:bookmarkEnd w:id="34"/>
      <w:bookmarkEnd w:id="35"/>
    </w:p>
    <w:p w14:paraId="27DBD2C8"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项目实施的社会效益及可持续性影响</w:t>
      </w:r>
    </w:p>
    <w:p w14:paraId="3731FB3A"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该项目新购置医用设备用于加强相关学科建设；远程视频教育中心旨在打造一个多媒体科普教育基地及区域人才培养远程会诊、授课、查房等，并且面向公众开展科普教育活动。人才培养旨在培养北京天坛医院神经系统疾病领域青年科学家。</w:t>
      </w:r>
      <w:r>
        <w:rPr>
          <w:rFonts w:eastAsia="仿宋_GB2312"/>
          <w:sz w:val="32"/>
          <w:szCs w:val="32"/>
        </w:rPr>
        <w:t>该项目</w:t>
      </w:r>
      <w:r>
        <w:rPr>
          <w:rFonts w:eastAsia="仿宋_GB2312" w:hint="eastAsia"/>
          <w:sz w:val="32"/>
          <w:szCs w:val="32"/>
        </w:rPr>
        <w:t>通过购买专用仪器设备、培养专业人才、开展科研教学等工作，</w:t>
      </w:r>
      <w:r>
        <w:rPr>
          <w:rFonts w:eastAsia="仿宋_GB2312" w:hint="eastAsia"/>
          <w:sz w:val="32"/>
          <w:szCs w:val="32"/>
        </w:rPr>
        <w:lastRenderedPageBreak/>
        <w:t>提升了作为国家区域医疗中心输出医院的北京天坛医院学科建设及专科能力，有助于推动区域医疗中心建设，提升天坛医院河南医院医疗服务与保障能力，有助于推动优质医疗资源区域均衡布局。但该项目实施效益资料呈现不足，仅提供一份“北京天坛医院派驻专家在郑大一附院的工作记录”，缺少对项目实际实施效益的总结和分析。</w:t>
      </w:r>
    </w:p>
    <w:p w14:paraId="137FBF3B" w14:textId="77777777" w:rsidR="00B86571" w:rsidRDefault="00000000">
      <w:pPr>
        <w:spacing w:line="560" w:lineRule="exact"/>
        <w:ind w:firstLineChars="200" w:firstLine="640"/>
        <w:textAlignment w:val="center"/>
        <w:outlineLvl w:val="2"/>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服务对象满意度</w:t>
      </w:r>
    </w:p>
    <w:p w14:paraId="26D80823"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该项目满意度指标为“输入医院门诊患者满意度：较上年提高”“输入医院住院患者满意度：较上年提高”“输入医院医务人员满意度：较上年提高”，但截至评价日天坛医院河南医院尚未建成，无法开展相关满意度调查工作，项目满意度的可评价性不足。</w:t>
      </w:r>
    </w:p>
    <w:p w14:paraId="48BCE80D" w14:textId="77777777" w:rsidR="00B86571" w:rsidRDefault="00000000">
      <w:pPr>
        <w:pStyle w:val="1"/>
        <w:keepNext w:val="0"/>
        <w:keepLines w:val="0"/>
        <w:spacing w:before="0" w:after="0" w:line="560" w:lineRule="exact"/>
        <w:ind w:firstLineChars="200" w:firstLine="640"/>
        <w:contextualSpacing/>
        <w:textAlignment w:val="center"/>
        <w:rPr>
          <w:rFonts w:eastAsia="黑体"/>
          <w:b w:val="0"/>
          <w:kern w:val="0"/>
          <w:sz w:val="32"/>
          <w:szCs w:val="32"/>
          <w:lang w:bidi="en-US"/>
        </w:rPr>
      </w:pPr>
      <w:bookmarkStart w:id="36" w:name="_Toc16030"/>
      <w:bookmarkStart w:id="37" w:name="_Toc31322"/>
      <w:r>
        <w:rPr>
          <w:rFonts w:eastAsia="黑体"/>
          <w:b w:val="0"/>
          <w:kern w:val="0"/>
          <w:sz w:val="32"/>
          <w:szCs w:val="32"/>
          <w:lang w:bidi="en-US"/>
        </w:rPr>
        <w:t>五、主要经验及做法、存在的问题及原因分析</w:t>
      </w:r>
      <w:bookmarkEnd w:id="36"/>
    </w:p>
    <w:p w14:paraId="121F238D" w14:textId="77777777" w:rsidR="00B86571" w:rsidRDefault="00000000">
      <w:pPr>
        <w:spacing w:line="560" w:lineRule="exact"/>
        <w:ind w:firstLineChars="200" w:firstLine="640"/>
        <w:textAlignment w:val="center"/>
        <w:outlineLvl w:val="1"/>
        <w:rPr>
          <w:rFonts w:eastAsia="楷体"/>
          <w:sz w:val="32"/>
          <w:szCs w:val="32"/>
        </w:rPr>
      </w:pPr>
      <w:bookmarkStart w:id="38" w:name="_Toc23008"/>
      <w:r>
        <w:rPr>
          <w:rFonts w:eastAsia="楷体"/>
          <w:sz w:val="32"/>
          <w:szCs w:val="32"/>
        </w:rPr>
        <w:t>（一）主要经验及做法</w:t>
      </w:r>
      <w:bookmarkEnd w:id="38"/>
    </w:p>
    <w:p w14:paraId="4FA3901E"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该项目根据《首都医科大学附属北京天坛医院院长办公会制度》《首都医科大学附属北京天坛医院全面预算管理制度》《首都医科大学附属北京天坛医院河南医院过渡期工作推进方案》等文件对项目进行管理。同时，北京天坛医院与郑大一附院联合成立“北京天坛医院河南医院过渡期建设领导小组”，明确了项目依托单位与输出单位的工作任务及目标，统筹推进各项措施有序落实。</w:t>
      </w:r>
    </w:p>
    <w:p w14:paraId="50DCBC11" w14:textId="77777777" w:rsidR="00B86571" w:rsidRDefault="00000000">
      <w:pPr>
        <w:spacing w:line="560" w:lineRule="exact"/>
        <w:ind w:firstLineChars="200" w:firstLine="640"/>
        <w:textAlignment w:val="center"/>
        <w:outlineLvl w:val="1"/>
        <w:rPr>
          <w:rFonts w:eastAsia="楷体"/>
          <w:sz w:val="32"/>
          <w:szCs w:val="32"/>
        </w:rPr>
      </w:pPr>
      <w:bookmarkStart w:id="39" w:name="_Toc5634"/>
      <w:r>
        <w:rPr>
          <w:rFonts w:eastAsia="楷体"/>
          <w:sz w:val="32"/>
          <w:szCs w:val="32"/>
        </w:rPr>
        <w:t>（二）存在的问题及原因分析</w:t>
      </w:r>
      <w:bookmarkEnd w:id="39"/>
    </w:p>
    <w:p w14:paraId="3F27CAF7" w14:textId="77777777" w:rsidR="00B86571" w:rsidRDefault="00000000">
      <w:pPr>
        <w:spacing w:line="560" w:lineRule="exact"/>
        <w:ind w:firstLineChars="200" w:firstLine="643"/>
        <w:textAlignment w:val="center"/>
        <w:outlineLvl w:val="2"/>
        <w:rPr>
          <w:rFonts w:eastAsia="仿宋_GB2312"/>
          <w:b/>
          <w:bCs/>
          <w:sz w:val="32"/>
          <w:szCs w:val="32"/>
        </w:rPr>
      </w:pPr>
      <w:bookmarkStart w:id="40" w:name="_Hlk137492520"/>
      <w:r>
        <w:rPr>
          <w:rFonts w:eastAsia="仿宋_GB2312" w:hint="eastAsia"/>
          <w:b/>
          <w:bCs/>
          <w:sz w:val="32"/>
          <w:szCs w:val="32"/>
        </w:rPr>
        <w:lastRenderedPageBreak/>
        <w:t>1</w:t>
      </w:r>
      <w:r>
        <w:rPr>
          <w:rFonts w:eastAsia="仿宋_GB2312"/>
          <w:b/>
          <w:bCs/>
          <w:sz w:val="32"/>
          <w:szCs w:val="32"/>
        </w:rPr>
        <w:t>.</w:t>
      </w:r>
      <w:r>
        <w:rPr>
          <w:rFonts w:eastAsia="仿宋_GB2312" w:hint="eastAsia"/>
          <w:b/>
          <w:bCs/>
          <w:sz w:val="32"/>
          <w:szCs w:val="32"/>
        </w:rPr>
        <w:t>资金分配不够合理</w:t>
      </w:r>
      <w:r>
        <w:rPr>
          <w:rFonts w:eastAsia="仿宋_GB2312"/>
          <w:b/>
          <w:bCs/>
          <w:sz w:val="32"/>
          <w:szCs w:val="32"/>
        </w:rPr>
        <w:t>，</w:t>
      </w:r>
      <w:r>
        <w:rPr>
          <w:rFonts w:eastAsia="仿宋_GB2312" w:hint="eastAsia"/>
          <w:b/>
          <w:bCs/>
          <w:sz w:val="32"/>
          <w:szCs w:val="32"/>
        </w:rPr>
        <w:t>资金管理不够规范</w:t>
      </w:r>
    </w:p>
    <w:p w14:paraId="74A24A0E" w14:textId="77777777" w:rsidR="00B86571" w:rsidRDefault="00000000">
      <w:pPr>
        <w:pStyle w:val="a0"/>
        <w:spacing w:line="560" w:lineRule="exact"/>
        <w:ind w:firstLineChars="200" w:firstLine="643"/>
        <w:textAlignment w:val="center"/>
        <w:rPr>
          <w:rFonts w:eastAsia="仿宋_GB2312"/>
          <w:sz w:val="32"/>
          <w:szCs w:val="32"/>
        </w:rPr>
      </w:pPr>
      <w:r>
        <w:rPr>
          <w:rFonts w:eastAsia="仿宋_GB2312"/>
          <w:b/>
          <w:bCs/>
          <w:sz w:val="32"/>
          <w:szCs w:val="32"/>
        </w:rPr>
        <w:t>一是</w:t>
      </w:r>
      <w:r>
        <w:rPr>
          <w:rFonts w:eastAsia="仿宋_GB2312" w:hint="eastAsia"/>
          <w:sz w:val="32"/>
          <w:szCs w:val="32"/>
        </w:rPr>
        <w:t>资金分配合理性不足。该项目仪器设备购置费用占比</w:t>
      </w:r>
      <w:r>
        <w:rPr>
          <w:rFonts w:eastAsia="仿宋_GB2312" w:hint="eastAsia"/>
          <w:sz w:val="32"/>
          <w:szCs w:val="32"/>
        </w:rPr>
        <w:t>87.50%</w:t>
      </w:r>
      <w:r>
        <w:rPr>
          <w:rFonts w:eastAsia="仿宋_GB2312" w:hint="eastAsia"/>
          <w:sz w:val="32"/>
          <w:szCs w:val="32"/>
        </w:rPr>
        <w:t>，人才培养费用占比</w:t>
      </w:r>
      <w:r>
        <w:rPr>
          <w:rFonts w:eastAsia="仿宋_GB2312" w:hint="eastAsia"/>
          <w:sz w:val="32"/>
          <w:szCs w:val="32"/>
        </w:rPr>
        <w:t>10%</w:t>
      </w:r>
      <w:r>
        <w:rPr>
          <w:rFonts w:eastAsia="仿宋_GB2312" w:hint="eastAsia"/>
          <w:sz w:val="32"/>
          <w:szCs w:val="32"/>
        </w:rPr>
        <w:t>，考察调研差旅费用占比</w:t>
      </w:r>
      <w:r>
        <w:rPr>
          <w:rFonts w:eastAsia="仿宋_GB2312" w:hint="eastAsia"/>
          <w:sz w:val="32"/>
          <w:szCs w:val="32"/>
        </w:rPr>
        <w:t>2.50%</w:t>
      </w:r>
      <w:r>
        <w:rPr>
          <w:rFonts w:eastAsia="仿宋_GB2312" w:hint="eastAsia"/>
          <w:sz w:val="32"/>
          <w:szCs w:val="32"/>
        </w:rPr>
        <w:t>，资金分配与转移支付资金支持输出医院加强人才储备培养的目标不够匹配，预算编制、资金分配的科学性不足。</w:t>
      </w:r>
    </w:p>
    <w:p w14:paraId="1100039C" w14:textId="77777777" w:rsidR="00B86571" w:rsidRDefault="00000000">
      <w:pPr>
        <w:spacing w:line="560" w:lineRule="exact"/>
        <w:ind w:firstLineChars="200" w:firstLine="643"/>
        <w:textAlignment w:val="center"/>
        <w:rPr>
          <w:rFonts w:eastAsia="仿宋_GB2312"/>
          <w:sz w:val="32"/>
          <w:szCs w:val="32"/>
        </w:rPr>
      </w:pPr>
      <w:r>
        <w:rPr>
          <w:rFonts w:eastAsia="仿宋_GB2312"/>
          <w:b/>
          <w:bCs/>
          <w:sz w:val="32"/>
          <w:szCs w:val="32"/>
        </w:rPr>
        <w:t>二是</w:t>
      </w:r>
      <w:r>
        <w:rPr>
          <w:rFonts w:eastAsia="仿宋_GB2312" w:hint="eastAsia"/>
          <w:sz w:val="32"/>
          <w:szCs w:val="32"/>
        </w:rPr>
        <w:t>部分支出超出项目支持范围。该项目购置防疫物资</w:t>
      </w:r>
      <w:r>
        <w:rPr>
          <w:rFonts w:eastAsia="仿宋_GB2312" w:hint="eastAsia"/>
          <w:sz w:val="32"/>
          <w:szCs w:val="32"/>
        </w:rPr>
        <w:t>46.34</w:t>
      </w:r>
      <w:r>
        <w:rPr>
          <w:rFonts w:eastAsia="仿宋_GB2312" w:hint="eastAsia"/>
          <w:sz w:val="32"/>
          <w:szCs w:val="32"/>
        </w:rPr>
        <w:t>万元，该部分支出并未在预算中体现，与项目实施内容的关联性不足。</w:t>
      </w:r>
    </w:p>
    <w:p w14:paraId="48972959" w14:textId="77777777" w:rsidR="00B86571" w:rsidRDefault="00000000">
      <w:pPr>
        <w:pStyle w:val="a0"/>
        <w:spacing w:line="560" w:lineRule="exact"/>
        <w:ind w:firstLineChars="200" w:firstLine="643"/>
        <w:rPr>
          <w:rFonts w:eastAsia="仿宋_GB2312"/>
        </w:rPr>
      </w:pPr>
      <w:r>
        <w:rPr>
          <w:rFonts w:eastAsia="仿宋_GB2312" w:hint="eastAsia"/>
          <w:b/>
          <w:bCs/>
          <w:sz w:val="32"/>
          <w:szCs w:val="32"/>
        </w:rPr>
        <w:t>三是</w:t>
      </w:r>
      <w:r>
        <w:rPr>
          <w:rFonts w:eastAsia="仿宋_GB2312" w:hint="eastAsia"/>
          <w:sz w:val="32"/>
          <w:szCs w:val="32"/>
        </w:rPr>
        <w:t>资金管理不够规范。截至评价日，细胞生物反应器、凝胶成像分析系统等专用设备未完成验收程序，远程视频教育中心设备未完成调试和验收，但已完成全部资金支付，未按合同规定的验收、结算程序执行。</w:t>
      </w:r>
    </w:p>
    <w:p w14:paraId="6A1A2594" w14:textId="77777777" w:rsidR="00B86571" w:rsidRDefault="00000000">
      <w:pPr>
        <w:numPr>
          <w:ilvl w:val="255"/>
          <w:numId w:val="0"/>
        </w:numPr>
        <w:spacing w:line="560" w:lineRule="exact"/>
        <w:ind w:firstLineChars="200" w:firstLine="643"/>
        <w:textAlignment w:val="center"/>
        <w:outlineLvl w:val="2"/>
        <w:rPr>
          <w:rFonts w:eastAsia="仿宋_GB2312"/>
          <w:b/>
          <w:bCs/>
          <w:sz w:val="32"/>
          <w:szCs w:val="32"/>
        </w:rPr>
      </w:pPr>
      <w:r>
        <w:rPr>
          <w:rFonts w:eastAsia="仿宋_GB2312" w:hint="eastAsia"/>
          <w:b/>
          <w:bCs/>
          <w:sz w:val="32"/>
          <w:szCs w:val="32"/>
        </w:rPr>
        <w:t>2.</w:t>
      </w:r>
      <w:r>
        <w:rPr>
          <w:rFonts w:eastAsia="仿宋_GB2312" w:hint="eastAsia"/>
          <w:b/>
          <w:bCs/>
          <w:sz w:val="32"/>
          <w:szCs w:val="32"/>
        </w:rPr>
        <w:t>实施方案有效性不足</w:t>
      </w:r>
    </w:p>
    <w:p w14:paraId="08208E56" w14:textId="77777777" w:rsidR="00B86571" w:rsidRDefault="00000000">
      <w:pPr>
        <w:spacing w:line="560" w:lineRule="exact"/>
        <w:ind w:firstLineChars="200" w:firstLine="640"/>
        <w:textAlignment w:val="center"/>
        <w:rPr>
          <w:rFonts w:eastAsia="仿宋_GB2312"/>
          <w:sz w:val="32"/>
          <w:szCs w:val="32"/>
        </w:rPr>
      </w:pPr>
      <w:r>
        <w:rPr>
          <w:rFonts w:eastAsia="仿宋_GB2312" w:hint="eastAsia"/>
          <w:sz w:val="32"/>
          <w:szCs w:val="32"/>
        </w:rPr>
        <w:t>《首都医科大学附属北京天坛医院河南医院过渡期工作推进方案》中的实施内容与该项目内容匹配性不足，且发布时间为</w:t>
      </w:r>
      <w:r>
        <w:rPr>
          <w:rFonts w:eastAsia="仿宋_GB2312" w:hint="eastAsia"/>
          <w:sz w:val="32"/>
          <w:szCs w:val="32"/>
        </w:rPr>
        <w:t>2022</w:t>
      </w:r>
      <w:r>
        <w:rPr>
          <w:rFonts w:eastAsia="仿宋_GB2312" w:hint="eastAsia"/>
          <w:sz w:val="32"/>
          <w:szCs w:val="32"/>
        </w:rPr>
        <w:t>年</w:t>
      </w:r>
      <w:r>
        <w:rPr>
          <w:rFonts w:eastAsia="仿宋_GB2312" w:hint="eastAsia"/>
          <w:sz w:val="32"/>
          <w:szCs w:val="32"/>
        </w:rPr>
        <w:t>9</w:t>
      </w:r>
      <w:r>
        <w:rPr>
          <w:rFonts w:eastAsia="仿宋_GB2312" w:hint="eastAsia"/>
          <w:sz w:val="32"/>
          <w:szCs w:val="32"/>
        </w:rPr>
        <w:t>月，发布时间较为滞后，无法对本项目实施产生有效指导。</w:t>
      </w:r>
    </w:p>
    <w:p w14:paraId="64013E79" w14:textId="77777777" w:rsidR="00B86571" w:rsidRDefault="00000000">
      <w:pPr>
        <w:spacing w:line="560" w:lineRule="exact"/>
        <w:ind w:firstLineChars="200" w:firstLine="643"/>
        <w:textAlignment w:val="center"/>
        <w:outlineLvl w:val="2"/>
        <w:rPr>
          <w:rFonts w:eastAsia="仿宋_GB2312"/>
          <w:b/>
          <w:bCs/>
          <w:sz w:val="32"/>
          <w:szCs w:val="32"/>
        </w:rPr>
      </w:pPr>
      <w:r>
        <w:rPr>
          <w:rFonts w:eastAsia="仿宋_GB2312" w:hint="eastAsia"/>
          <w:b/>
          <w:bCs/>
          <w:sz w:val="32"/>
          <w:szCs w:val="32"/>
        </w:rPr>
        <w:t>3.</w:t>
      </w:r>
      <w:r>
        <w:rPr>
          <w:rFonts w:eastAsia="仿宋_GB2312" w:hint="eastAsia"/>
          <w:b/>
          <w:bCs/>
          <w:sz w:val="32"/>
          <w:szCs w:val="32"/>
        </w:rPr>
        <w:t>项目产出和效益呈现不足</w:t>
      </w:r>
    </w:p>
    <w:p w14:paraId="1EC6A1DE" w14:textId="77777777" w:rsidR="00B86571" w:rsidRDefault="00000000">
      <w:pPr>
        <w:spacing w:line="560" w:lineRule="exact"/>
        <w:ind w:firstLineChars="200" w:firstLine="643"/>
        <w:textAlignment w:val="center"/>
        <w:rPr>
          <w:rFonts w:eastAsia="仿宋_GB2312"/>
          <w:sz w:val="32"/>
          <w:szCs w:val="32"/>
        </w:rPr>
      </w:pPr>
      <w:r>
        <w:rPr>
          <w:rFonts w:eastAsia="仿宋_GB2312" w:hint="eastAsia"/>
          <w:b/>
          <w:bCs/>
          <w:sz w:val="32"/>
          <w:szCs w:val="32"/>
        </w:rPr>
        <w:t>一是</w:t>
      </w:r>
      <w:r>
        <w:rPr>
          <w:rFonts w:eastAsia="仿宋_GB2312" w:hint="eastAsia"/>
          <w:sz w:val="32"/>
          <w:szCs w:val="32"/>
        </w:rPr>
        <w:t>项目实施进度较为滞后，产出质量难以验证。截至评价日，部分设备尚未完成验收，远程视频教育中心设备调试工作暂未完成，项目实际执行滞后于实施计划；同时，因调试、验收工作尚未完成，项目产出质量情况尚不清晰。</w:t>
      </w:r>
    </w:p>
    <w:p w14:paraId="453C896E" w14:textId="77777777" w:rsidR="00B86571" w:rsidRDefault="00000000">
      <w:pPr>
        <w:spacing w:line="560" w:lineRule="exact"/>
        <w:ind w:firstLineChars="200" w:firstLine="643"/>
        <w:textAlignment w:val="center"/>
        <w:rPr>
          <w:rFonts w:eastAsia="仿宋_GB2312"/>
          <w:sz w:val="32"/>
          <w:szCs w:val="32"/>
        </w:rPr>
      </w:pPr>
      <w:r>
        <w:rPr>
          <w:rFonts w:eastAsia="仿宋_GB2312" w:hint="eastAsia"/>
          <w:b/>
          <w:bCs/>
          <w:sz w:val="32"/>
          <w:szCs w:val="32"/>
        </w:rPr>
        <w:lastRenderedPageBreak/>
        <w:t>二是</w:t>
      </w:r>
      <w:r>
        <w:rPr>
          <w:rFonts w:eastAsia="仿宋_GB2312" w:hint="eastAsia"/>
          <w:sz w:val="32"/>
          <w:szCs w:val="32"/>
        </w:rPr>
        <w:t>项目实施效益资料呈现不足。一方面，该项目缺少对项目整体实施效益的总结和分析，相关绩效资料归集不足；另一方面，由于天坛医院河南医院暂未建成，未开展相关满意度调查工作，项目满意度的可评价性不足。</w:t>
      </w:r>
    </w:p>
    <w:p w14:paraId="3E711B40" w14:textId="77777777" w:rsidR="00B86571" w:rsidRDefault="00000000">
      <w:pPr>
        <w:pStyle w:val="1"/>
        <w:keepNext w:val="0"/>
        <w:keepLines w:val="0"/>
        <w:spacing w:before="0" w:after="0" w:line="560" w:lineRule="exact"/>
        <w:ind w:firstLineChars="200" w:firstLine="640"/>
        <w:contextualSpacing/>
        <w:textAlignment w:val="center"/>
        <w:rPr>
          <w:rFonts w:eastAsia="黑体"/>
          <w:b w:val="0"/>
          <w:kern w:val="0"/>
          <w:sz w:val="32"/>
          <w:szCs w:val="32"/>
          <w:lang w:bidi="en-US"/>
        </w:rPr>
      </w:pPr>
      <w:bookmarkStart w:id="41" w:name="_Toc19157"/>
      <w:bookmarkEnd w:id="40"/>
      <w:r>
        <w:rPr>
          <w:rFonts w:eastAsia="黑体"/>
          <w:b w:val="0"/>
          <w:kern w:val="0"/>
          <w:sz w:val="32"/>
          <w:szCs w:val="32"/>
          <w:lang w:bidi="en-US"/>
        </w:rPr>
        <w:t>六、有关建议</w:t>
      </w:r>
      <w:bookmarkEnd w:id="41"/>
    </w:p>
    <w:p w14:paraId="142F3B5F" w14:textId="77777777" w:rsidR="00B86571" w:rsidRDefault="00000000">
      <w:pPr>
        <w:spacing w:line="560" w:lineRule="exact"/>
        <w:ind w:firstLineChars="200" w:firstLine="640"/>
        <w:textAlignment w:val="center"/>
        <w:outlineLvl w:val="1"/>
        <w:rPr>
          <w:rFonts w:eastAsia="楷体"/>
          <w:sz w:val="32"/>
          <w:szCs w:val="32"/>
        </w:rPr>
      </w:pPr>
      <w:bookmarkStart w:id="42" w:name="_Toc30694"/>
      <w:bookmarkStart w:id="43" w:name="_Toc3703"/>
      <w:r>
        <w:rPr>
          <w:rFonts w:eastAsia="楷体"/>
          <w:sz w:val="32"/>
          <w:szCs w:val="32"/>
        </w:rPr>
        <w:t>（</w:t>
      </w:r>
      <w:r>
        <w:rPr>
          <w:rFonts w:eastAsia="楷体" w:hint="eastAsia"/>
          <w:sz w:val="32"/>
          <w:szCs w:val="32"/>
        </w:rPr>
        <w:t>一</w:t>
      </w:r>
      <w:r>
        <w:rPr>
          <w:rFonts w:eastAsia="楷体"/>
          <w:sz w:val="32"/>
          <w:szCs w:val="32"/>
        </w:rPr>
        <w:t>）</w:t>
      </w:r>
      <w:r>
        <w:rPr>
          <w:rFonts w:eastAsia="楷体" w:hint="eastAsia"/>
          <w:sz w:val="32"/>
          <w:szCs w:val="32"/>
        </w:rPr>
        <w:t>加强项目过程管理</w:t>
      </w:r>
      <w:r>
        <w:rPr>
          <w:rFonts w:eastAsia="楷体"/>
          <w:sz w:val="32"/>
          <w:szCs w:val="32"/>
        </w:rPr>
        <w:t>，</w:t>
      </w:r>
      <w:r>
        <w:rPr>
          <w:rFonts w:eastAsia="楷体" w:hint="eastAsia"/>
          <w:sz w:val="32"/>
          <w:szCs w:val="32"/>
        </w:rPr>
        <w:t>规范使用项目资金</w:t>
      </w:r>
      <w:bookmarkEnd w:id="42"/>
      <w:bookmarkEnd w:id="43"/>
    </w:p>
    <w:p w14:paraId="73056C2C" w14:textId="77777777" w:rsidR="00B86571" w:rsidRDefault="00000000">
      <w:pPr>
        <w:pStyle w:val="a0"/>
        <w:spacing w:line="560" w:lineRule="exact"/>
        <w:ind w:firstLineChars="200" w:firstLine="640"/>
        <w:textAlignment w:val="center"/>
        <w:rPr>
          <w:rFonts w:eastAsia="仿宋_GB2312"/>
          <w:sz w:val="32"/>
          <w:szCs w:val="32"/>
        </w:rPr>
      </w:pPr>
      <w:r>
        <w:rPr>
          <w:rFonts w:eastAsia="仿宋_GB2312" w:hint="eastAsia"/>
          <w:sz w:val="32"/>
          <w:szCs w:val="32"/>
        </w:rPr>
        <w:t>建议项目单位加强项目过程管理，</w:t>
      </w:r>
      <w:r>
        <w:rPr>
          <w:rFonts w:ascii="仿宋_GB2312" w:eastAsia="仿宋_GB2312" w:hAnsi="仿宋_GB2312" w:cs="仿宋_GB2312" w:hint="eastAsia"/>
          <w:sz w:val="32"/>
          <w:szCs w:val="32"/>
        </w:rPr>
        <w:t>加强项目实施方案编制管理</w:t>
      </w:r>
      <w:r>
        <w:rPr>
          <w:rFonts w:eastAsia="仿宋_GB2312" w:hint="eastAsia"/>
          <w:sz w:val="32"/>
          <w:szCs w:val="32"/>
        </w:rPr>
        <w:t>，加强实施方案与项目内容的匹配性</w:t>
      </w:r>
      <w:r>
        <w:rPr>
          <w:rFonts w:ascii="仿宋_GB2312" w:eastAsia="仿宋_GB2312" w:hAnsi="仿宋_GB2312" w:cs="仿宋_GB2312" w:hint="eastAsia"/>
          <w:sz w:val="32"/>
          <w:szCs w:val="32"/>
        </w:rPr>
        <w:t>，</w:t>
      </w:r>
      <w:r>
        <w:rPr>
          <w:rFonts w:eastAsia="仿宋_GB2312" w:hint="eastAsia"/>
          <w:sz w:val="32"/>
          <w:szCs w:val="32"/>
        </w:rPr>
        <w:t>提高实施方案有效性。建议项目单位科学编制预算，结合资金用途、目标任务，合理分配资金；</w:t>
      </w:r>
      <w:r>
        <w:rPr>
          <w:rFonts w:ascii="仿宋_GB2312" w:eastAsia="仿宋_GB2312" w:hAnsi="仿宋_GB2312" w:cs="仿宋_GB2312" w:hint="eastAsia"/>
          <w:sz w:val="32"/>
          <w:szCs w:val="32"/>
        </w:rPr>
        <w:t>规范资金使用及管理，</w:t>
      </w:r>
      <w:r>
        <w:rPr>
          <w:rFonts w:eastAsia="仿宋_GB2312" w:hint="eastAsia"/>
          <w:sz w:val="32"/>
          <w:szCs w:val="32"/>
        </w:rPr>
        <w:t>明确项目支出范围，严格按照资金支出范围使用资金；</w:t>
      </w:r>
      <w:r>
        <w:rPr>
          <w:rFonts w:ascii="仿宋_GB2312" w:eastAsia="仿宋_GB2312" w:hAnsi="仿宋_GB2312" w:cs="仿宋_GB2312" w:hint="eastAsia"/>
          <w:sz w:val="32"/>
          <w:szCs w:val="32"/>
        </w:rPr>
        <w:t>严格资金支出审批流程，先验收再结算，资金拨付需提供充分的资料支撑</w:t>
      </w:r>
      <w:r>
        <w:rPr>
          <w:rFonts w:eastAsia="仿宋_GB2312" w:hint="eastAsia"/>
          <w:sz w:val="32"/>
          <w:szCs w:val="32"/>
        </w:rPr>
        <w:t>。</w:t>
      </w:r>
    </w:p>
    <w:p w14:paraId="3213CAD2" w14:textId="77777777" w:rsidR="00B86571" w:rsidRDefault="00000000">
      <w:pPr>
        <w:spacing w:line="560" w:lineRule="exact"/>
        <w:ind w:firstLineChars="200" w:firstLine="640"/>
        <w:textAlignment w:val="center"/>
        <w:outlineLvl w:val="1"/>
        <w:rPr>
          <w:rFonts w:eastAsia="楷体"/>
          <w:sz w:val="32"/>
          <w:szCs w:val="32"/>
        </w:rPr>
      </w:pPr>
      <w:bookmarkStart w:id="44" w:name="_Toc17898"/>
      <w:bookmarkStart w:id="45" w:name="_Toc14474"/>
      <w:r>
        <w:rPr>
          <w:rFonts w:eastAsia="楷体"/>
          <w:sz w:val="32"/>
          <w:szCs w:val="32"/>
        </w:rPr>
        <w:t>（</w:t>
      </w:r>
      <w:r>
        <w:rPr>
          <w:rFonts w:eastAsia="楷体" w:hint="eastAsia"/>
          <w:sz w:val="32"/>
          <w:szCs w:val="32"/>
        </w:rPr>
        <w:t>二</w:t>
      </w:r>
      <w:r>
        <w:rPr>
          <w:rFonts w:eastAsia="楷体"/>
          <w:sz w:val="32"/>
          <w:szCs w:val="32"/>
        </w:rPr>
        <w:t>）</w:t>
      </w:r>
      <w:r>
        <w:rPr>
          <w:rFonts w:eastAsia="楷体" w:hint="eastAsia"/>
          <w:sz w:val="32"/>
          <w:szCs w:val="32"/>
        </w:rPr>
        <w:t>进一步增强绩效管理意识</w:t>
      </w:r>
      <w:r>
        <w:rPr>
          <w:rFonts w:eastAsia="楷体"/>
          <w:sz w:val="32"/>
          <w:szCs w:val="32"/>
        </w:rPr>
        <w:t>，</w:t>
      </w:r>
      <w:bookmarkEnd w:id="44"/>
      <w:r>
        <w:rPr>
          <w:rFonts w:eastAsia="楷体" w:hint="eastAsia"/>
          <w:sz w:val="32"/>
          <w:szCs w:val="32"/>
        </w:rPr>
        <w:t>充分呈现项目效益</w:t>
      </w:r>
      <w:bookmarkEnd w:id="45"/>
    </w:p>
    <w:p w14:paraId="3C58B76D" w14:textId="77777777" w:rsidR="00B86571" w:rsidRDefault="00000000">
      <w:pPr>
        <w:pStyle w:val="a0"/>
        <w:spacing w:line="560" w:lineRule="exact"/>
        <w:ind w:firstLineChars="200" w:firstLine="640"/>
        <w:rPr>
          <w:rFonts w:eastAsia="仿宋_GB2312"/>
          <w:sz w:val="32"/>
          <w:szCs w:val="32"/>
        </w:rPr>
      </w:pPr>
      <w:r>
        <w:rPr>
          <w:rFonts w:eastAsia="仿宋_GB2312"/>
          <w:sz w:val="32"/>
          <w:szCs w:val="32"/>
        </w:rPr>
        <w:t>建议项目单位</w:t>
      </w:r>
      <w:r>
        <w:rPr>
          <w:rFonts w:eastAsia="仿宋_GB2312" w:hint="eastAsia"/>
          <w:sz w:val="32"/>
          <w:szCs w:val="32"/>
        </w:rPr>
        <w:t>进一步增强绩效管理意识，合理安排项目实施进度，加强对项目资料的搜集、整理、归档，项目实施过程中按相应规范形成技术和质量资料，注意资料留痕，项目完成后及时对档案进行整理归档，为项目产出及效益的实现情况提供充分的佐证资料。</w:t>
      </w:r>
    </w:p>
    <w:p w14:paraId="3281A1F9" w14:textId="77777777" w:rsidR="00B86571" w:rsidRDefault="00000000">
      <w:pPr>
        <w:pStyle w:val="a0"/>
        <w:spacing w:line="560" w:lineRule="exact"/>
        <w:ind w:firstLineChars="200" w:firstLine="640"/>
      </w:pPr>
      <w:r>
        <w:rPr>
          <w:rFonts w:eastAsia="仿宋_GB2312" w:hint="eastAsia"/>
          <w:sz w:val="32"/>
          <w:szCs w:val="32"/>
        </w:rPr>
        <w:t>建议项目单位加强满意度调查工作并进行整理分析，通过满意度调查，获取患者和医务人员对项目实施的认同度、支持度，整理分析项目存在的问题和需要改进的地方，为今后项目实施积累可借鉴的经验和做法。</w:t>
      </w:r>
    </w:p>
    <w:p w14:paraId="322F8AF9" w14:textId="77777777" w:rsidR="00B86571" w:rsidRDefault="00000000">
      <w:pPr>
        <w:pStyle w:val="1"/>
        <w:keepNext w:val="0"/>
        <w:keepLines w:val="0"/>
        <w:spacing w:before="0" w:after="0" w:line="560" w:lineRule="exact"/>
        <w:ind w:firstLineChars="200" w:firstLine="640"/>
        <w:contextualSpacing/>
        <w:textAlignment w:val="center"/>
        <w:rPr>
          <w:rFonts w:eastAsia="黑体"/>
          <w:b w:val="0"/>
          <w:kern w:val="0"/>
          <w:sz w:val="32"/>
          <w:szCs w:val="32"/>
          <w:lang w:bidi="en-US"/>
        </w:rPr>
      </w:pPr>
      <w:bookmarkStart w:id="46" w:name="_Toc24516"/>
      <w:r>
        <w:rPr>
          <w:rFonts w:eastAsia="黑体"/>
          <w:b w:val="0"/>
          <w:kern w:val="0"/>
          <w:sz w:val="32"/>
          <w:szCs w:val="32"/>
          <w:lang w:bidi="en-US"/>
        </w:rPr>
        <w:lastRenderedPageBreak/>
        <w:t>七、其他需要说明的问题</w:t>
      </w:r>
      <w:bookmarkEnd w:id="46"/>
    </w:p>
    <w:p w14:paraId="64F3512A" w14:textId="77777777" w:rsidR="00B86571" w:rsidRDefault="00000000">
      <w:pPr>
        <w:spacing w:line="560" w:lineRule="exact"/>
        <w:ind w:firstLineChars="200" w:firstLine="640"/>
        <w:textAlignment w:val="center"/>
        <w:outlineLvl w:val="1"/>
        <w:rPr>
          <w:rFonts w:eastAsia="楷体"/>
          <w:sz w:val="32"/>
          <w:szCs w:val="32"/>
        </w:rPr>
      </w:pPr>
      <w:bookmarkStart w:id="47" w:name="_Toc11683"/>
      <w:bookmarkStart w:id="48" w:name="_Toc11410"/>
      <w:r>
        <w:rPr>
          <w:rFonts w:eastAsia="楷体"/>
          <w:sz w:val="32"/>
          <w:szCs w:val="32"/>
        </w:rPr>
        <w:t>（一）评价工作依据</w:t>
      </w:r>
      <w:bookmarkEnd w:id="47"/>
      <w:bookmarkEnd w:id="48"/>
    </w:p>
    <w:p w14:paraId="657DA8E0"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评价工作组以</w:t>
      </w:r>
      <w:r>
        <w:rPr>
          <w:rFonts w:eastAsia="仿宋_GB2312" w:hint="eastAsia"/>
          <w:sz w:val="32"/>
          <w:szCs w:val="32"/>
        </w:rPr>
        <w:t>北京天坛医院</w:t>
      </w:r>
      <w:r>
        <w:rPr>
          <w:rFonts w:eastAsia="仿宋_GB2312"/>
          <w:sz w:val="32"/>
          <w:szCs w:val="32"/>
        </w:rPr>
        <w:t>提供的评价材料为基础，对项目进行综合分析和专业评价，在此基础上形成</w:t>
      </w:r>
      <w:r>
        <w:rPr>
          <w:rFonts w:eastAsia="仿宋_GB2312" w:hint="eastAsia"/>
          <w:sz w:val="32"/>
          <w:szCs w:val="32"/>
        </w:rPr>
        <w:t>“天坛医院医疗服务与保障能力提升（第三批）—区域医疗中心补助资金”</w:t>
      </w:r>
      <w:r>
        <w:rPr>
          <w:rFonts w:eastAsia="仿宋_GB2312"/>
          <w:sz w:val="32"/>
          <w:szCs w:val="32"/>
        </w:rPr>
        <w:t>绩效评价报告。</w:t>
      </w:r>
    </w:p>
    <w:p w14:paraId="20C47371" w14:textId="77777777" w:rsidR="00B86571" w:rsidRDefault="00000000">
      <w:pPr>
        <w:spacing w:line="560" w:lineRule="exact"/>
        <w:ind w:firstLineChars="200" w:firstLine="640"/>
        <w:textAlignment w:val="center"/>
        <w:outlineLvl w:val="1"/>
        <w:rPr>
          <w:rFonts w:eastAsia="楷体"/>
          <w:sz w:val="32"/>
          <w:szCs w:val="32"/>
        </w:rPr>
      </w:pPr>
      <w:bookmarkStart w:id="49" w:name="_Toc13460"/>
      <w:bookmarkStart w:id="50" w:name="_Toc17637"/>
      <w:r>
        <w:rPr>
          <w:rFonts w:eastAsia="楷体"/>
          <w:sz w:val="32"/>
          <w:szCs w:val="32"/>
        </w:rPr>
        <w:t>（二）评价报告适用范围</w:t>
      </w:r>
      <w:bookmarkEnd w:id="49"/>
      <w:bookmarkEnd w:id="50"/>
    </w:p>
    <w:p w14:paraId="2B8D7644" w14:textId="77777777" w:rsidR="00B86571" w:rsidRDefault="00000000">
      <w:pPr>
        <w:spacing w:line="560" w:lineRule="exact"/>
        <w:ind w:firstLineChars="200" w:firstLine="640"/>
        <w:textAlignment w:val="center"/>
        <w:rPr>
          <w:rFonts w:eastAsia="仿宋_GB2312"/>
          <w:sz w:val="32"/>
          <w:szCs w:val="32"/>
        </w:rPr>
      </w:pPr>
      <w:r>
        <w:rPr>
          <w:rFonts w:eastAsia="仿宋_GB2312"/>
          <w:sz w:val="32"/>
          <w:szCs w:val="32"/>
        </w:rPr>
        <w:t>本评价报告所作的评价结论仅为</w:t>
      </w:r>
      <w:r>
        <w:rPr>
          <w:rFonts w:eastAsia="仿宋_GB2312" w:hint="eastAsia"/>
          <w:sz w:val="32"/>
          <w:szCs w:val="32"/>
        </w:rPr>
        <w:t>北京市医院管理中心</w:t>
      </w:r>
      <w:r>
        <w:rPr>
          <w:rFonts w:eastAsia="仿宋_GB2312"/>
          <w:sz w:val="32"/>
          <w:szCs w:val="32"/>
        </w:rPr>
        <w:t>提供参考依据，不做其它用途。</w:t>
      </w:r>
    </w:p>
    <w:p w14:paraId="6CFEDBBA" w14:textId="77777777" w:rsidR="00B86571" w:rsidRDefault="00B86571">
      <w:pPr>
        <w:pStyle w:val="1"/>
        <w:keepNext w:val="0"/>
        <w:keepLines w:val="0"/>
        <w:spacing w:before="0" w:after="0" w:line="560" w:lineRule="exact"/>
        <w:contextualSpacing/>
        <w:textAlignment w:val="center"/>
        <w:rPr>
          <w:rFonts w:eastAsia="黑体"/>
          <w:b w:val="0"/>
          <w:kern w:val="0"/>
          <w:sz w:val="32"/>
          <w:szCs w:val="32"/>
          <w:lang w:bidi="en-US"/>
        </w:rPr>
      </w:pPr>
    </w:p>
    <w:p w14:paraId="08406449" w14:textId="77777777" w:rsidR="00B86571" w:rsidRDefault="00B86571">
      <w:pPr>
        <w:rPr>
          <w:lang w:bidi="en-US"/>
        </w:rPr>
      </w:pPr>
    </w:p>
    <w:p w14:paraId="295405C9" w14:textId="77777777" w:rsidR="00B86571" w:rsidRDefault="00B86571">
      <w:pPr>
        <w:pStyle w:val="a0"/>
        <w:rPr>
          <w:rFonts w:eastAsia="黑体"/>
          <w:b/>
          <w:kern w:val="0"/>
          <w:sz w:val="32"/>
          <w:szCs w:val="32"/>
          <w:lang w:bidi="en-US"/>
        </w:rPr>
      </w:pPr>
    </w:p>
    <w:p w14:paraId="176EAB84" w14:textId="77777777" w:rsidR="00B86571" w:rsidRDefault="00000000">
      <w:pPr>
        <w:spacing w:line="560" w:lineRule="exact"/>
        <w:ind w:firstLineChars="200" w:firstLine="640"/>
        <w:textAlignment w:val="center"/>
        <w:rPr>
          <w:rFonts w:eastAsia="仿宋_GB2312"/>
          <w:kern w:val="0"/>
          <w:sz w:val="32"/>
          <w:szCs w:val="32"/>
          <w:lang w:bidi="en-US"/>
        </w:rPr>
      </w:pPr>
      <w:r>
        <w:rPr>
          <w:rFonts w:eastAsia="仿宋_GB2312" w:hint="eastAsia"/>
          <w:kern w:val="0"/>
          <w:sz w:val="32"/>
          <w:szCs w:val="32"/>
          <w:lang w:bidi="en-US"/>
        </w:rPr>
        <w:t>附表：</w:t>
      </w:r>
    </w:p>
    <w:p w14:paraId="0BB6A2F9" w14:textId="77777777" w:rsidR="00B86571" w:rsidRDefault="00000000">
      <w:pPr>
        <w:spacing w:line="560" w:lineRule="exact"/>
        <w:ind w:firstLineChars="200" w:firstLine="640"/>
        <w:textAlignment w:val="center"/>
        <w:rPr>
          <w:rFonts w:eastAsia="仿宋_GB2312"/>
          <w:kern w:val="0"/>
          <w:sz w:val="32"/>
          <w:szCs w:val="32"/>
          <w:lang w:bidi="en-US"/>
        </w:rPr>
      </w:pPr>
      <w:r>
        <w:rPr>
          <w:rFonts w:eastAsia="仿宋_GB2312" w:hint="eastAsia"/>
          <w:kern w:val="0"/>
          <w:sz w:val="32"/>
          <w:szCs w:val="32"/>
          <w:lang w:bidi="en-US"/>
        </w:rPr>
        <w:t>天坛医院医疗服务与保障能力提升（第三批）—区域医疗中心补助资金绩效评价评分表</w:t>
      </w:r>
    </w:p>
    <w:bookmarkEnd w:id="37"/>
    <w:p w14:paraId="7896F0E3" w14:textId="77777777" w:rsidR="00B86571" w:rsidRDefault="00B86571">
      <w:pPr>
        <w:pStyle w:val="a0"/>
      </w:pPr>
    </w:p>
    <w:sectPr w:rsidR="00B86571">
      <w:footerReference w:type="default" r:id="rId8"/>
      <w:pgSz w:w="11906" w:h="16838"/>
      <w:pgMar w:top="2098" w:right="1474" w:bottom="1984" w:left="158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C38D" w14:textId="77777777" w:rsidR="004248D3" w:rsidRDefault="004248D3">
      <w:r>
        <w:separator/>
      </w:r>
    </w:p>
  </w:endnote>
  <w:endnote w:type="continuationSeparator" w:id="0">
    <w:p w14:paraId="1A799007" w14:textId="77777777" w:rsidR="004248D3" w:rsidRDefault="0042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汉仪楷体简"/>
    <w:charset w:val="86"/>
    <w:family w:val="modern"/>
    <w:pitch w:val="default"/>
    <w:sig w:usb0="00000000" w:usb1="00000000" w:usb2="0000001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97E4" w14:textId="77777777" w:rsidR="00B86571" w:rsidRDefault="00000000">
    <w:pPr>
      <w:pStyle w:val="a7"/>
    </w:pPr>
    <w:r>
      <w:rPr>
        <w:noProof/>
      </w:rPr>
      <mc:AlternateContent>
        <mc:Choice Requires="wps">
          <w:drawing>
            <wp:anchor distT="0" distB="0" distL="114300" distR="114300" simplePos="0" relativeHeight="251659264" behindDoc="0" locked="0" layoutInCell="1" allowOverlap="1" wp14:anchorId="4D080FB0" wp14:editId="494EC2CE">
              <wp:simplePos x="0" y="0"/>
              <wp:positionH relativeFrom="margin">
                <wp:align>outside</wp:align>
              </wp:positionH>
              <wp:positionV relativeFrom="paragraph">
                <wp:posOffset>0</wp:posOffset>
              </wp:positionV>
              <wp:extent cx="217805"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780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439F1" w14:textId="77777777" w:rsidR="00B86571" w:rsidRDefault="00000000">
                          <w:pPr>
                            <w:pStyle w:val="a7"/>
                            <w:rPr>
                              <w:rFonts w:eastAsia="仿宋_GB2312"/>
                              <w:sz w:val="28"/>
                              <w:szCs w:val="28"/>
                            </w:rPr>
                          </w:pP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D080FB0" id="_x0000_t202" coordsize="21600,21600" o:spt="202" path="m,l,21600r21600,l21600,xe">
              <v:stroke joinstyle="miter"/>
              <v:path gradientshapeok="t" o:connecttype="rect"/>
            </v:shapetype>
            <v:shape id="文本框 3" o:spid="_x0000_s1026" type="#_x0000_t202" style="position:absolute;margin-left:-34.05pt;margin-top:0;width:17.15pt;height:16.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" filled="f" stroked="f" strokeweight=".5pt">
              <v:textbox inset="0,0,0,0">
                <w:txbxContent>
                  <w:p w14:paraId="6D9439F1" w14:textId="77777777" w:rsidR="00B86571" w:rsidRDefault="00000000">
                    <w:pPr>
                      <w:pStyle w:val="a7"/>
                      <w:rPr>
                        <w:rFonts w:eastAsia="仿宋_GB2312"/>
                        <w:sz w:val="28"/>
                        <w:szCs w:val="28"/>
                      </w:rPr>
                    </w:pP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28B4" w14:textId="77777777" w:rsidR="004248D3" w:rsidRDefault="004248D3">
      <w:r>
        <w:separator/>
      </w:r>
    </w:p>
  </w:footnote>
  <w:footnote w:type="continuationSeparator" w:id="0">
    <w:p w14:paraId="6D4DB1D7" w14:textId="77777777" w:rsidR="004248D3" w:rsidRDefault="00424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017D80"/>
    <w:multiLevelType w:val="singleLevel"/>
    <w:tmpl w:val="86017D80"/>
    <w:lvl w:ilvl="0">
      <w:start w:val="2"/>
      <w:numFmt w:val="decimal"/>
      <w:lvlText w:val="%1."/>
      <w:lvlJc w:val="left"/>
      <w:pPr>
        <w:tabs>
          <w:tab w:val="left" w:pos="312"/>
        </w:tabs>
      </w:pPr>
    </w:lvl>
  </w:abstractNum>
  <w:abstractNum w:abstractNumId="1" w15:restartNumberingAfterBreak="0">
    <w:nsid w:val="6033732D"/>
    <w:multiLevelType w:val="singleLevel"/>
    <w:tmpl w:val="6033732D"/>
    <w:lvl w:ilvl="0">
      <w:start w:val="1"/>
      <w:numFmt w:val="decimal"/>
      <w:lvlText w:val="（%1）"/>
      <w:lvlJc w:val="left"/>
      <w:pPr>
        <w:ind w:left="440" w:hanging="440"/>
      </w:pPr>
      <w:rPr>
        <w:rFonts w:hint="default"/>
      </w:rPr>
    </w:lvl>
  </w:abstractNum>
  <w:num w:numId="1" w16cid:durableId="531189422">
    <w:abstractNumId w:val="0"/>
  </w:num>
  <w:num w:numId="2" w16cid:durableId="866217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U1MzAzMzFkODRlNjExYmNhN2IxYmE3MTY5NGZjZmEifQ=="/>
  </w:docVars>
  <w:rsids>
    <w:rsidRoot w:val="37D414B2"/>
    <w:rsid w:val="EF6EE141"/>
    <w:rsid w:val="00003E86"/>
    <w:rsid w:val="00014E5F"/>
    <w:rsid w:val="00016CCF"/>
    <w:rsid w:val="000216B8"/>
    <w:rsid w:val="0002339F"/>
    <w:rsid w:val="00024BC2"/>
    <w:rsid w:val="00035C27"/>
    <w:rsid w:val="00050840"/>
    <w:rsid w:val="00052E85"/>
    <w:rsid w:val="000660DA"/>
    <w:rsid w:val="00067EE5"/>
    <w:rsid w:val="0008261B"/>
    <w:rsid w:val="00084D80"/>
    <w:rsid w:val="000864EF"/>
    <w:rsid w:val="0009713D"/>
    <w:rsid w:val="000A3B61"/>
    <w:rsid w:val="000A7BF6"/>
    <w:rsid w:val="000B17B1"/>
    <w:rsid w:val="000C2649"/>
    <w:rsid w:val="000C2EF8"/>
    <w:rsid w:val="000C3873"/>
    <w:rsid w:val="000C3FDD"/>
    <w:rsid w:val="000C5E2D"/>
    <w:rsid w:val="000C607C"/>
    <w:rsid w:val="000D681A"/>
    <w:rsid w:val="000E0AB9"/>
    <w:rsid w:val="000E6BA2"/>
    <w:rsid w:val="000E7FAA"/>
    <w:rsid w:val="000F6982"/>
    <w:rsid w:val="00101B3E"/>
    <w:rsid w:val="00105E92"/>
    <w:rsid w:val="00107C20"/>
    <w:rsid w:val="001113F4"/>
    <w:rsid w:val="00111481"/>
    <w:rsid w:val="00115A79"/>
    <w:rsid w:val="00120B36"/>
    <w:rsid w:val="001231BF"/>
    <w:rsid w:val="001232DF"/>
    <w:rsid w:val="00133228"/>
    <w:rsid w:val="00142CD8"/>
    <w:rsid w:val="001445D5"/>
    <w:rsid w:val="00146AEF"/>
    <w:rsid w:val="0016251C"/>
    <w:rsid w:val="001666E4"/>
    <w:rsid w:val="00170848"/>
    <w:rsid w:val="00185F32"/>
    <w:rsid w:val="00187B2E"/>
    <w:rsid w:val="001A3734"/>
    <w:rsid w:val="001A6603"/>
    <w:rsid w:val="001C2FD2"/>
    <w:rsid w:val="001C37B1"/>
    <w:rsid w:val="001D1365"/>
    <w:rsid w:val="001D79BD"/>
    <w:rsid w:val="001E497A"/>
    <w:rsid w:val="001F18DB"/>
    <w:rsid w:val="001F57FB"/>
    <w:rsid w:val="00203760"/>
    <w:rsid w:val="00214FA3"/>
    <w:rsid w:val="002153B1"/>
    <w:rsid w:val="002317EC"/>
    <w:rsid w:val="00231D14"/>
    <w:rsid w:val="002459F1"/>
    <w:rsid w:val="00251341"/>
    <w:rsid w:val="00254DD3"/>
    <w:rsid w:val="00255B15"/>
    <w:rsid w:val="0026221E"/>
    <w:rsid w:val="002678DE"/>
    <w:rsid w:val="00270B16"/>
    <w:rsid w:val="002723D3"/>
    <w:rsid w:val="00272A75"/>
    <w:rsid w:val="00274EE8"/>
    <w:rsid w:val="002768D9"/>
    <w:rsid w:val="0028336B"/>
    <w:rsid w:val="00287AAF"/>
    <w:rsid w:val="0029388E"/>
    <w:rsid w:val="00295BF7"/>
    <w:rsid w:val="002C48ED"/>
    <w:rsid w:val="002C522F"/>
    <w:rsid w:val="002C6768"/>
    <w:rsid w:val="002C7970"/>
    <w:rsid w:val="002D5A97"/>
    <w:rsid w:val="002D6600"/>
    <w:rsid w:val="002D703E"/>
    <w:rsid w:val="002D7CB4"/>
    <w:rsid w:val="002E2B36"/>
    <w:rsid w:val="002E5AF1"/>
    <w:rsid w:val="002F290B"/>
    <w:rsid w:val="002F7B0B"/>
    <w:rsid w:val="0030329D"/>
    <w:rsid w:val="00305B91"/>
    <w:rsid w:val="00306A89"/>
    <w:rsid w:val="0031327B"/>
    <w:rsid w:val="00315164"/>
    <w:rsid w:val="003222BD"/>
    <w:rsid w:val="00325432"/>
    <w:rsid w:val="003329C3"/>
    <w:rsid w:val="00334AFB"/>
    <w:rsid w:val="00337067"/>
    <w:rsid w:val="003425A9"/>
    <w:rsid w:val="003428B0"/>
    <w:rsid w:val="0034483D"/>
    <w:rsid w:val="00350530"/>
    <w:rsid w:val="00364C86"/>
    <w:rsid w:val="00371BB1"/>
    <w:rsid w:val="0038221D"/>
    <w:rsid w:val="003828F5"/>
    <w:rsid w:val="0038693F"/>
    <w:rsid w:val="00392080"/>
    <w:rsid w:val="00393ADB"/>
    <w:rsid w:val="00396450"/>
    <w:rsid w:val="00396572"/>
    <w:rsid w:val="00396B2C"/>
    <w:rsid w:val="00396F0D"/>
    <w:rsid w:val="00397FEB"/>
    <w:rsid w:val="003A01A4"/>
    <w:rsid w:val="003A51F1"/>
    <w:rsid w:val="003C082A"/>
    <w:rsid w:val="003C469D"/>
    <w:rsid w:val="003C722B"/>
    <w:rsid w:val="003E14A7"/>
    <w:rsid w:val="003E4307"/>
    <w:rsid w:val="003E43CB"/>
    <w:rsid w:val="003E488C"/>
    <w:rsid w:val="003E7288"/>
    <w:rsid w:val="003F1BF3"/>
    <w:rsid w:val="003F5A33"/>
    <w:rsid w:val="003F6048"/>
    <w:rsid w:val="003F7876"/>
    <w:rsid w:val="00400227"/>
    <w:rsid w:val="0040063F"/>
    <w:rsid w:val="00403728"/>
    <w:rsid w:val="00416749"/>
    <w:rsid w:val="00416C10"/>
    <w:rsid w:val="004170AD"/>
    <w:rsid w:val="004248D3"/>
    <w:rsid w:val="00426011"/>
    <w:rsid w:val="0043320F"/>
    <w:rsid w:val="00447219"/>
    <w:rsid w:val="00451D1E"/>
    <w:rsid w:val="004605DB"/>
    <w:rsid w:val="00460770"/>
    <w:rsid w:val="00460992"/>
    <w:rsid w:val="00466495"/>
    <w:rsid w:val="00467BC0"/>
    <w:rsid w:val="004720FA"/>
    <w:rsid w:val="0048343D"/>
    <w:rsid w:val="004978D2"/>
    <w:rsid w:val="00497AD9"/>
    <w:rsid w:val="004A15FA"/>
    <w:rsid w:val="004A196E"/>
    <w:rsid w:val="004A1B49"/>
    <w:rsid w:val="004A3C9A"/>
    <w:rsid w:val="004A59FE"/>
    <w:rsid w:val="004A72C2"/>
    <w:rsid w:val="004B2E52"/>
    <w:rsid w:val="004C32B9"/>
    <w:rsid w:val="004C6D44"/>
    <w:rsid w:val="004C77ED"/>
    <w:rsid w:val="004D4C95"/>
    <w:rsid w:val="004F19F6"/>
    <w:rsid w:val="004F388C"/>
    <w:rsid w:val="00504A0E"/>
    <w:rsid w:val="00506A9E"/>
    <w:rsid w:val="00514E9E"/>
    <w:rsid w:val="0051592E"/>
    <w:rsid w:val="00527E97"/>
    <w:rsid w:val="005305B7"/>
    <w:rsid w:val="00535DFB"/>
    <w:rsid w:val="005362F5"/>
    <w:rsid w:val="005559E5"/>
    <w:rsid w:val="00572F6F"/>
    <w:rsid w:val="00573E9E"/>
    <w:rsid w:val="005757C9"/>
    <w:rsid w:val="00575EE1"/>
    <w:rsid w:val="005776C7"/>
    <w:rsid w:val="00582038"/>
    <w:rsid w:val="00590C53"/>
    <w:rsid w:val="00591F90"/>
    <w:rsid w:val="005B1A44"/>
    <w:rsid w:val="005B24B1"/>
    <w:rsid w:val="005B5B56"/>
    <w:rsid w:val="005B6388"/>
    <w:rsid w:val="005D28EA"/>
    <w:rsid w:val="005D4914"/>
    <w:rsid w:val="005D4FA8"/>
    <w:rsid w:val="005E12CD"/>
    <w:rsid w:val="005E51C5"/>
    <w:rsid w:val="005E544C"/>
    <w:rsid w:val="005F077A"/>
    <w:rsid w:val="005F0B3D"/>
    <w:rsid w:val="005F1D54"/>
    <w:rsid w:val="00605903"/>
    <w:rsid w:val="00607457"/>
    <w:rsid w:val="006147E7"/>
    <w:rsid w:val="00624444"/>
    <w:rsid w:val="00633040"/>
    <w:rsid w:val="00641DCE"/>
    <w:rsid w:val="0064403E"/>
    <w:rsid w:val="006444EA"/>
    <w:rsid w:val="00644EEE"/>
    <w:rsid w:val="00645E89"/>
    <w:rsid w:val="00647D9A"/>
    <w:rsid w:val="00650223"/>
    <w:rsid w:val="0065378F"/>
    <w:rsid w:val="00661158"/>
    <w:rsid w:val="00667E21"/>
    <w:rsid w:val="00671106"/>
    <w:rsid w:val="0067256B"/>
    <w:rsid w:val="00672D31"/>
    <w:rsid w:val="006740D3"/>
    <w:rsid w:val="0067613A"/>
    <w:rsid w:val="00676558"/>
    <w:rsid w:val="00682797"/>
    <w:rsid w:val="00682DF5"/>
    <w:rsid w:val="00683227"/>
    <w:rsid w:val="00690709"/>
    <w:rsid w:val="006A14DB"/>
    <w:rsid w:val="006A561A"/>
    <w:rsid w:val="006B02E8"/>
    <w:rsid w:val="006C0370"/>
    <w:rsid w:val="006D0A15"/>
    <w:rsid w:val="006D0BB1"/>
    <w:rsid w:val="006D1E2D"/>
    <w:rsid w:val="006D322B"/>
    <w:rsid w:val="006D354A"/>
    <w:rsid w:val="006D7BF4"/>
    <w:rsid w:val="006E4708"/>
    <w:rsid w:val="006E5D29"/>
    <w:rsid w:val="006F44D8"/>
    <w:rsid w:val="00710298"/>
    <w:rsid w:val="0071345B"/>
    <w:rsid w:val="0071774B"/>
    <w:rsid w:val="00723612"/>
    <w:rsid w:val="007245F9"/>
    <w:rsid w:val="00727DC8"/>
    <w:rsid w:val="00733CCD"/>
    <w:rsid w:val="00734251"/>
    <w:rsid w:val="00734DC4"/>
    <w:rsid w:val="007407E0"/>
    <w:rsid w:val="007415CD"/>
    <w:rsid w:val="00745B5A"/>
    <w:rsid w:val="00755A2A"/>
    <w:rsid w:val="0075623C"/>
    <w:rsid w:val="00765678"/>
    <w:rsid w:val="00773D82"/>
    <w:rsid w:val="00774C3A"/>
    <w:rsid w:val="00776506"/>
    <w:rsid w:val="00782F75"/>
    <w:rsid w:val="00790DCC"/>
    <w:rsid w:val="00792EDE"/>
    <w:rsid w:val="0079451C"/>
    <w:rsid w:val="007A1076"/>
    <w:rsid w:val="007A3E2A"/>
    <w:rsid w:val="007B5F26"/>
    <w:rsid w:val="007C1229"/>
    <w:rsid w:val="007D049E"/>
    <w:rsid w:val="007D29FC"/>
    <w:rsid w:val="007E77C8"/>
    <w:rsid w:val="007E782F"/>
    <w:rsid w:val="007F1C91"/>
    <w:rsid w:val="0080689D"/>
    <w:rsid w:val="00816965"/>
    <w:rsid w:val="008200CE"/>
    <w:rsid w:val="00824027"/>
    <w:rsid w:val="008266EA"/>
    <w:rsid w:val="00826ABE"/>
    <w:rsid w:val="0083245F"/>
    <w:rsid w:val="00832B22"/>
    <w:rsid w:val="00835611"/>
    <w:rsid w:val="008366D3"/>
    <w:rsid w:val="00836A6F"/>
    <w:rsid w:val="00841404"/>
    <w:rsid w:val="00842056"/>
    <w:rsid w:val="0084430C"/>
    <w:rsid w:val="008462B2"/>
    <w:rsid w:val="0086040B"/>
    <w:rsid w:val="00862720"/>
    <w:rsid w:val="00872D50"/>
    <w:rsid w:val="00876626"/>
    <w:rsid w:val="00881086"/>
    <w:rsid w:val="0088285D"/>
    <w:rsid w:val="008B3178"/>
    <w:rsid w:val="008B42AF"/>
    <w:rsid w:val="008B5F1C"/>
    <w:rsid w:val="008C3AD1"/>
    <w:rsid w:val="008C42E5"/>
    <w:rsid w:val="008C5038"/>
    <w:rsid w:val="008D6DB9"/>
    <w:rsid w:val="008E7F9C"/>
    <w:rsid w:val="008F1FB7"/>
    <w:rsid w:val="008F3DC3"/>
    <w:rsid w:val="008F4888"/>
    <w:rsid w:val="00906E2F"/>
    <w:rsid w:val="00914404"/>
    <w:rsid w:val="00932615"/>
    <w:rsid w:val="00932FD8"/>
    <w:rsid w:val="0094158B"/>
    <w:rsid w:val="009415E0"/>
    <w:rsid w:val="00942175"/>
    <w:rsid w:val="00953DE3"/>
    <w:rsid w:val="009605ED"/>
    <w:rsid w:val="00972FCD"/>
    <w:rsid w:val="009750E7"/>
    <w:rsid w:val="009920FE"/>
    <w:rsid w:val="00992C15"/>
    <w:rsid w:val="00994BCB"/>
    <w:rsid w:val="009952F3"/>
    <w:rsid w:val="009A2278"/>
    <w:rsid w:val="009A2763"/>
    <w:rsid w:val="009B0B38"/>
    <w:rsid w:val="009D2E57"/>
    <w:rsid w:val="009D65F9"/>
    <w:rsid w:val="009E06B0"/>
    <w:rsid w:val="009E1DA7"/>
    <w:rsid w:val="009E201F"/>
    <w:rsid w:val="009E2A92"/>
    <w:rsid w:val="009F18C4"/>
    <w:rsid w:val="00A11E83"/>
    <w:rsid w:val="00A227B1"/>
    <w:rsid w:val="00A3454B"/>
    <w:rsid w:val="00A35EC7"/>
    <w:rsid w:val="00A50EB5"/>
    <w:rsid w:val="00A62F0B"/>
    <w:rsid w:val="00A715E4"/>
    <w:rsid w:val="00A734E4"/>
    <w:rsid w:val="00A805B0"/>
    <w:rsid w:val="00A80B75"/>
    <w:rsid w:val="00A849A4"/>
    <w:rsid w:val="00A868AC"/>
    <w:rsid w:val="00A94A71"/>
    <w:rsid w:val="00A96726"/>
    <w:rsid w:val="00AA23A3"/>
    <w:rsid w:val="00AB32F1"/>
    <w:rsid w:val="00AB7CBD"/>
    <w:rsid w:val="00AC3940"/>
    <w:rsid w:val="00AC5278"/>
    <w:rsid w:val="00AE00C8"/>
    <w:rsid w:val="00AF3D14"/>
    <w:rsid w:val="00AF7B62"/>
    <w:rsid w:val="00B003F4"/>
    <w:rsid w:val="00B0750B"/>
    <w:rsid w:val="00B12163"/>
    <w:rsid w:val="00B1484F"/>
    <w:rsid w:val="00B17832"/>
    <w:rsid w:val="00B22157"/>
    <w:rsid w:val="00B25737"/>
    <w:rsid w:val="00B34CF8"/>
    <w:rsid w:val="00B43C59"/>
    <w:rsid w:val="00B471E7"/>
    <w:rsid w:val="00B478E2"/>
    <w:rsid w:val="00B666BB"/>
    <w:rsid w:val="00B67402"/>
    <w:rsid w:val="00B76A8A"/>
    <w:rsid w:val="00B77FDA"/>
    <w:rsid w:val="00B8458F"/>
    <w:rsid w:val="00B851B3"/>
    <w:rsid w:val="00B86571"/>
    <w:rsid w:val="00B87B3D"/>
    <w:rsid w:val="00B97C4F"/>
    <w:rsid w:val="00BA0584"/>
    <w:rsid w:val="00BA0B76"/>
    <w:rsid w:val="00BA48FB"/>
    <w:rsid w:val="00BA6643"/>
    <w:rsid w:val="00BB0DC7"/>
    <w:rsid w:val="00BB3252"/>
    <w:rsid w:val="00BB47E7"/>
    <w:rsid w:val="00BC4FE4"/>
    <w:rsid w:val="00BD0BF8"/>
    <w:rsid w:val="00BD1699"/>
    <w:rsid w:val="00BF73EE"/>
    <w:rsid w:val="00C04BF6"/>
    <w:rsid w:val="00C141EF"/>
    <w:rsid w:val="00C165B5"/>
    <w:rsid w:val="00C1701E"/>
    <w:rsid w:val="00C22334"/>
    <w:rsid w:val="00C235D8"/>
    <w:rsid w:val="00C35637"/>
    <w:rsid w:val="00C36559"/>
    <w:rsid w:val="00C375D6"/>
    <w:rsid w:val="00C42698"/>
    <w:rsid w:val="00C44640"/>
    <w:rsid w:val="00C6231D"/>
    <w:rsid w:val="00C64A72"/>
    <w:rsid w:val="00C66C8D"/>
    <w:rsid w:val="00C70084"/>
    <w:rsid w:val="00C7750C"/>
    <w:rsid w:val="00C82218"/>
    <w:rsid w:val="00C863F9"/>
    <w:rsid w:val="00C87CD6"/>
    <w:rsid w:val="00C90635"/>
    <w:rsid w:val="00C91537"/>
    <w:rsid w:val="00C9242B"/>
    <w:rsid w:val="00C93666"/>
    <w:rsid w:val="00C94D0C"/>
    <w:rsid w:val="00C97ED3"/>
    <w:rsid w:val="00CB1E7D"/>
    <w:rsid w:val="00CB22E4"/>
    <w:rsid w:val="00CB30FB"/>
    <w:rsid w:val="00CB6F6F"/>
    <w:rsid w:val="00CC475D"/>
    <w:rsid w:val="00CC7636"/>
    <w:rsid w:val="00CD419A"/>
    <w:rsid w:val="00CD6D90"/>
    <w:rsid w:val="00CE3186"/>
    <w:rsid w:val="00CF035B"/>
    <w:rsid w:val="00CF3F8F"/>
    <w:rsid w:val="00CF581A"/>
    <w:rsid w:val="00D21087"/>
    <w:rsid w:val="00D23871"/>
    <w:rsid w:val="00D32111"/>
    <w:rsid w:val="00D33798"/>
    <w:rsid w:val="00D5254E"/>
    <w:rsid w:val="00D611B1"/>
    <w:rsid w:val="00D67535"/>
    <w:rsid w:val="00D72ED9"/>
    <w:rsid w:val="00D76568"/>
    <w:rsid w:val="00D77F07"/>
    <w:rsid w:val="00D90E22"/>
    <w:rsid w:val="00D9215F"/>
    <w:rsid w:val="00D947EE"/>
    <w:rsid w:val="00D9711C"/>
    <w:rsid w:val="00DA1EE2"/>
    <w:rsid w:val="00DA48F3"/>
    <w:rsid w:val="00DA56A3"/>
    <w:rsid w:val="00DA7DB1"/>
    <w:rsid w:val="00DC14BD"/>
    <w:rsid w:val="00DC24DC"/>
    <w:rsid w:val="00DC3DE6"/>
    <w:rsid w:val="00DC4B6D"/>
    <w:rsid w:val="00DC5EBD"/>
    <w:rsid w:val="00DE09AE"/>
    <w:rsid w:val="00DE0ACC"/>
    <w:rsid w:val="00DF3555"/>
    <w:rsid w:val="00DF3E79"/>
    <w:rsid w:val="00DF5C5C"/>
    <w:rsid w:val="00DF75A3"/>
    <w:rsid w:val="00E043A5"/>
    <w:rsid w:val="00E057CC"/>
    <w:rsid w:val="00E10C2F"/>
    <w:rsid w:val="00E16FE2"/>
    <w:rsid w:val="00E20917"/>
    <w:rsid w:val="00E24F4E"/>
    <w:rsid w:val="00E25364"/>
    <w:rsid w:val="00E351D5"/>
    <w:rsid w:val="00E351DB"/>
    <w:rsid w:val="00E35BE5"/>
    <w:rsid w:val="00E41A26"/>
    <w:rsid w:val="00E42853"/>
    <w:rsid w:val="00E440F9"/>
    <w:rsid w:val="00E55C00"/>
    <w:rsid w:val="00E560F9"/>
    <w:rsid w:val="00E56E64"/>
    <w:rsid w:val="00E56EE7"/>
    <w:rsid w:val="00E653DA"/>
    <w:rsid w:val="00E714C0"/>
    <w:rsid w:val="00E761AC"/>
    <w:rsid w:val="00E812D1"/>
    <w:rsid w:val="00E9078A"/>
    <w:rsid w:val="00E94DB5"/>
    <w:rsid w:val="00E9660A"/>
    <w:rsid w:val="00EA1919"/>
    <w:rsid w:val="00EA3938"/>
    <w:rsid w:val="00EA4B0B"/>
    <w:rsid w:val="00EB395E"/>
    <w:rsid w:val="00EB4521"/>
    <w:rsid w:val="00EC2611"/>
    <w:rsid w:val="00EC6068"/>
    <w:rsid w:val="00ED5EB8"/>
    <w:rsid w:val="00ED7F99"/>
    <w:rsid w:val="00EE385D"/>
    <w:rsid w:val="00EF01C2"/>
    <w:rsid w:val="00EF09A3"/>
    <w:rsid w:val="00EF5BA2"/>
    <w:rsid w:val="00EF7DD6"/>
    <w:rsid w:val="00F008BA"/>
    <w:rsid w:val="00F00F19"/>
    <w:rsid w:val="00F041DA"/>
    <w:rsid w:val="00F10A16"/>
    <w:rsid w:val="00F10ED6"/>
    <w:rsid w:val="00F11CEE"/>
    <w:rsid w:val="00F1284F"/>
    <w:rsid w:val="00F13D70"/>
    <w:rsid w:val="00F157A4"/>
    <w:rsid w:val="00F2185B"/>
    <w:rsid w:val="00F22327"/>
    <w:rsid w:val="00F22E8B"/>
    <w:rsid w:val="00F36800"/>
    <w:rsid w:val="00F41524"/>
    <w:rsid w:val="00F44AE9"/>
    <w:rsid w:val="00F47247"/>
    <w:rsid w:val="00F50E4A"/>
    <w:rsid w:val="00F512D4"/>
    <w:rsid w:val="00F5471D"/>
    <w:rsid w:val="00F577D5"/>
    <w:rsid w:val="00F62737"/>
    <w:rsid w:val="00F64DCC"/>
    <w:rsid w:val="00F71626"/>
    <w:rsid w:val="00F722FB"/>
    <w:rsid w:val="00F860CB"/>
    <w:rsid w:val="00F91C31"/>
    <w:rsid w:val="00F92784"/>
    <w:rsid w:val="00FA1F16"/>
    <w:rsid w:val="00FB0F8E"/>
    <w:rsid w:val="00FB2ABE"/>
    <w:rsid w:val="00FB3535"/>
    <w:rsid w:val="00FB5CEC"/>
    <w:rsid w:val="00FB6422"/>
    <w:rsid w:val="00FC5CD0"/>
    <w:rsid w:val="00FC6486"/>
    <w:rsid w:val="00FC7998"/>
    <w:rsid w:val="00FD2917"/>
    <w:rsid w:val="00FE7ACC"/>
    <w:rsid w:val="01E44FDB"/>
    <w:rsid w:val="03704154"/>
    <w:rsid w:val="03BC7892"/>
    <w:rsid w:val="044E0E32"/>
    <w:rsid w:val="05494DF7"/>
    <w:rsid w:val="05B64EE1"/>
    <w:rsid w:val="061B32BE"/>
    <w:rsid w:val="08FA5408"/>
    <w:rsid w:val="09615163"/>
    <w:rsid w:val="09A514F4"/>
    <w:rsid w:val="0A2E0A48"/>
    <w:rsid w:val="0B1306DF"/>
    <w:rsid w:val="0DF70FAC"/>
    <w:rsid w:val="0E3C619F"/>
    <w:rsid w:val="0F29227F"/>
    <w:rsid w:val="0FC71A98"/>
    <w:rsid w:val="102173FB"/>
    <w:rsid w:val="13D11D8B"/>
    <w:rsid w:val="13E175CD"/>
    <w:rsid w:val="14597972"/>
    <w:rsid w:val="16A01ACF"/>
    <w:rsid w:val="17A27073"/>
    <w:rsid w:val="1A1678A4"/>
    <w:rsid w:val="1A8A4238"/>
    <w:rsid w:val="1C3A691E"/>
    <w:rsid w:val="1D9D1444"/>
    <w:rsid w:val="1DE57D57"/>
    <w:rsid w:val="1DF148B0"/>
    <w:rsid w:val="1E566E09"/>
    <w:rsid w:val="1F4924CA"/>
    <w:rsid w:val="21A8797C"/>
    <w:rsid w:val="22425179"/>
    <w:rsid w:val="22E5250A"/>
    <w:rsid w:val="238F7B62"/>
    <w:rsid w:val="23BC14BC"/>
    <w:rsid w:val="23D528B6"/>
    <w:rsid w:val="24DD5B8E"/>
    <w:rsid w:val="26D13CB2"/>
    <w:rsid w:val="27401BDA"/>
    <w:rsid w:val="27710810"/>
    <w:rsid w:val="2A691C72"/>
    <w:rsid w:val="2AF235AC"/>
    <w:rsid w:val="2B7B710A"/>
    <w:rsid w:val="2C424529"/>
    <w:rsid w:val="2C6A448E"/>
    <w:rsid w:val="2C714E0E"/>
    <w:rsid w:val="2C815051"/>
    <w:rsid w:val="2D3227EF"/>
    <w:rsid w:val="2DB417F9"/>
    <w:rsid w:val="2E530C6F"/>
    <w:rsid w:val="2E630483"/>
    <w:rsid w:val="2EBE7F0D"/>
    <w:rsid w:val="2F340AA1"/>
    <w:rsid w:val="2FA33530"/>
    <w:rsid w:val="31857392"/>
    <w:rsid w:val="32B85545"/>
    <w:rsid w:val="33010C9A"/>
    <w:rsid w:val="34DB551B"/>
    <w:rsid w:val="367E6AA5"/>
    <w:rsid w:val="3686005D"/>
    <w:rsid w:val="37C60704"/>
    <w:rsid w:val="37D414B2"/>
    <w:rsid w:val="381A5280"/>
    <w:rsid w:val="38E4205E"/>
    <w:rsid w:val="39925932"/>
    <w:rsid w:val="3A7428A5"/>
    <w:rsid w:val="3A7C32FC"/>
    <w:rsid w:val="3ABB3AC8"/>
    <w:rsid w:val="3C3A1B45"/>
    <w:rsid w:val="3D8C5824"/>
    <w:rsid w:val="3DCA4F2C"/>
    <w:rsid w:val="3E9B4698"/>
    <w:rsid w:val="3EF618CF"/>
    <w:rsid w:val="3FC25C55"/>
    <w:rsid w:val="40B97058"/>
    <w:rsid w:val="40D914A8"/>
    <w:rsid w:val="416074D3"/>
    <w:rsid w:val="417F6B65"/>
    <w:rsid w:val="42844669"/>
    <w:rsid w:val="43212C92"/>
    <w:rsid w:val="434F5A51"/>
    <w:rsid w:val="43CA3C9D"/>
    <w:rsid w:val="44290050"/>
    <w:rsid w:val="45EC3A2B"/>
    <w:rsid w:val="460E296A"/>
    <w:rsid w:val="46D544C0"/>
    <w:rsid w:val="49641B2B"/>
    <w:rsid w:val="4A3F3DBE"/>
    <w:rsid w:val="4A4D5354"/>
    <w:rsid w:val="4AC72371"/>
    <w:rsid w:val="4B9A5CD8"/>
    <w:rsid w:val="4BEA1865"/>
    <w:rsid w:val="4D355CB8"/>
    <w:rsid w:val="4D461C73"/>
    <w:rsid w:val="4DE71DAF"/>
    <w:rsid w:val="4DFB0421"/>
    <w:rsid w:val="4F132029"/>
    <w:rsid w:val="4FA218A0"/>
    <w:rsid w:val="50D92DFE"/>
    <w:rsid w:val="520876EC"/>
    <w:rsid w:val="5596306C"/>
    <w:rsid w:val="56462CE4"/>
    <w:rsid w:val="569F7F1D"/>
    <w:rsid w:val="589B2863"/>
    <w:rsid w:val="59771406"/>
    <w:rsid w:val="59EF5441"/>
    <w:rsid w:val="5A631880"/>
    <w:rsid w:val="5BE50899"/>
    <w:rsid w:val="5C3F2632"/>
    <w:rsid w:val="5DC42740"/>
    <w:rsid w:val="5F3F6522"/>
    <w:rsid w:val="606C7D42"/>
    <w:rsid w:val="60A22FBF"/>
    <w:rsid w:val="63A40295"/>
    <w:rsid w:val="642B6FB7"/>
    <w:rsid w:val="64750A9E"/>
    <w:rsid w:val="64EC2CA8"/>
    <w:rsid w:val="65C9123C"/>
    <w:rsid w:val="663C37A2"/>
    <w:rsid w:val="67DA24E3"/>
    <w:rsid w:val="681D168E"/>
    <w:rsid w:val="6A5D7059"/>
    <w:rsid w:val="6B00125C"/>
    <w:rsid w:val="6B8F25DF"/>
    <w:rsid w:val="6C9D2ADA"/>
    <w:rsid w:val="6DBD51C9"/>
    <w:rsid w:val="6EAA6383"/>
    <w:rsid w:val="6F1C062E"/>
    <w:rsid w:val="70756248"/>
    <w:rsid w:val="73D43285"/>
    <w:rsid w:val="74AF29B5"/>
    <w:rsid w:val="74F87447"/>
    <w:rsid w:val="775F730A"/>
    <w:rsid w:val="77FA7C72"/>
    <w:rsid w:val="786B1CDE"/>
    <w:rsid w:val="794744F9"/>
    <w:rsid w:val="7A34488C"/>
    <w:rsid w:val="7AAF2356"/>
    <w:rsid w:val="7AB20098"/>
    <w:rsid w:val="7C920181"/>
    <w:rsid w:val="7E33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D4D9F"/>
  <w15:docId w15:val="{9B3E6804-0AC4-48FD-9449-2C5F13F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spacing w:line="560" w:lineRule="exact"/>
      <w:ind w:firstLineChars="200" w:firstLine="640"/>
      <w:outlineLvl w:val="1"/>
    </w:pPr>
    <w:rPr>
      <w:rFonts w:ascii="楷体_GB2312" w:eastAsia="楷体_GB2312" w:hAnsi="楷体_GB2312" w:cs="楷体_GB2312"/>
      <w:color w:val="00000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annotation text"/>
    <w:basedOn w:val="a"/>
    <w:link w:val="a5"/>
    <w:qFormat/>
    <w:pPr>
      <w:jc w:val="left"/>
    </w:pPr>
  </w:style>
  <w:style w:type="paragraph" w:styleId="a6">
    <w:name w:val="Body Text Indent"/>
    <w:basedOn w:val="a"/>
    <w:qFormat/>
    <w:pPr>
      <w:widowControl/>
      <w:spacing w:after="200" w:line="276" w:lineRule="auto"/>
      <w:ind w:firstLine="420"/>
      <w:jc w:val="left"/>
    </w:pPr>
    <w:rPr>
      <w:rFonts w:ascii="Cambria" w:hAnsi="Cambria"/>
      <w:kern w:val="0"/>
      <w:sz w:val="22"/>
      <w:lang w:eastAsia="en-US" w:bidi="en-US"/>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21">
    <w:name w:val="Body Text 2"/>
    <w:basedOn w:val="a"/>
    <w:qFormat/>
    <w:pPr>
      <w:spacing w:after="120" w:line="480" w:lineRule="auto"/>
    </w:pPr>
  </w:style>
  <w:style w:type="paragraph" w:styleId="a9">
    <w:name w:val="Normal (Web)"/>
    <w:basedOn w:val="a"/>
    <w:qFormat/>
    <w:pPr>
      <w:spacing w:beforeAutospacing="1" w:afterAutospacing="1"/>
      <w:jc w:val="left"/>
    </w:pPr>
    <w:rPr>
      <w:kern w:val="0"/>
      <w:sz w:val="24"/>
    </w:rPr>
  </w:style>
  <w:style w:type="paragraph" w:styleId="aa">
    <w:name w:val="annotation subject"/>
    <w:basedOn w:val="a4"/>
    <w:next w:val="a4"/>
    <w:link w:val="ab"/>
    <w:qFormat/>
    <w:rPr>
      <w:b/>
      <w:bCs/>
    </w:rPr>
  </w:style>
  <w:style w:type="paragraph" w:styleId="22">
    <w:name w:val="Body Text First Indent 2"/>
    <w:basedOn w:val="a6"/>
    <w:qFormat/>
    <w:pPr>
      <w:ind w:firstLineChars="200" w:firstLine="200"/>
    </w:p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rFonts w:ascii="Tahoma" w:eastAsia="宋体" w:hAnsi="Tahoma"/>
      <w:b/>
      <w:bCs/>
      <w:kern w:val="2"/>
      <w:sz w:val="24"/>
      <w:szCs w:val="24"/>
      <w:lang w:val="en-US" w:eastAsia="zh-CN" w:bidi="ar-SA"/>
    </w:rPr>
  </w:style>
  <w:style w:type="character" w:styleId="ae">
    <w:name w:val="annotation reference"/>
    <w:basedOn w:val="a1"/>
    <w:qFormat/>
    <w:rPr>
      <w:sz w:val="21"/>
      <w:szCs w:val="21"/>
    </w:rPr>
  </w:style>
  <w:style w:type="paragraph" w:customStyle="1" w:styleId="10">
    <w:name w:val="正文首行缩进1"/>
    <w:basedOn w:val="a0"/>
    <w:next w:val="210"/>
    <w:qFormat/>
    <w:pPr>
      <w:spacing w:after="120"/>
      <w:ind w:firstLineChars="100" w:firstLine="420"/>
    </w:pPr>
  </w:style>
  <w:style w:type="paragraph" w:customStyle="1" w:styleId="210">
    <w:name w:val="正文首行缩进 21"/>
    <w:basedOn w:val="a6"/>
    <w:qFormat/>
    <w:pPr>
      <w:ind w:firstLineChars="200" w:firstLine="200"/>
    </w:pPr>
    <w:rPr>
      <w:sz w:val="21"/>
      <w:szCs w:val="21"/>
    </w:rPr>
  </w:style>
  <w:style w:type="paragraph" w:customStyle="1" w:styleId="23">
    <w:name w:val="样式 首行缩进:  2 字符"/>
    <w:basedOn w:val="a"/>
    <w:qFormat/>
    <w:pPr>
      <w:spacing w:line="480" w:lineRule="exact"/>
      <w:ind w:firstLine="480"/>
      <w:jc w:val="left"/>
    </w:pPr>
    <w:rPr>
      <w:color w:val="7030A0"/>
      <w:kern w:val="0"/>
      <w:sz w:val="24"/>
      <w:szCs w:val="20"/>
    </w:rPr>
  </w:style>
  <w:style w:type="paragraph" w:customStyle="1" w:styleId="11">
    <w:name w:val="列出段落1"/>
    <w:basedOn w:val="a"/>
    <w:uiPriority w:val="34"/>
    <w:qFormat/>
    <w:pPr>
      <w:ind w:firstLineChars="200" w:firstLine="420"/>
    </w:pPr>
    <w:rPr>
      <w:rFonts w:ascii="Calibri" w:hAnsi="Calibri" w:cs="黑体"/>
      <w:szCs w:val="22"/>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2">
    <w:name w:val="修订1"/>
    <w:hidden/>
    <w:uiPriority w:val="99"/>
    <w:semiHidden/>
    <w:qFormat/>
    <w:rPr>
      <w:kern w:val="2"/>
      <w:sz w:val="21"/>
      <w:szCs w:val="24"/>
    </w:rPr>
  </w:style>
  <w:style w:type="character" w:customStyle="1" w:styleId="a5">
    <w:name w:val="批注文字 字符"/>
    <w:basedOn w:val="a1"/>
    <w:link w:val="a4"/>
    <w:qFormat/>
    <w:rPr>
      <w:kern w:val="2"/>
      <w:sz w:val="21"/>
      <w:szCs w:val="24"/>
    </w:rPr>
  </w:style>
  <w:style w:type="character" w:customStyle="1" w:styleId="ab">
    <w:name w:val="批注主题 字符"/>
    <w:basedOn w:val="a5"/>
    <w:link w:val="aa"/>
    <w:qFormat/>
    <w:rPr>
      <w:b/>
      <w:bCs/>
      <w:kern w:val="2"/>
      <w:sz w:val="21"/>
      <w:szCs w:val="24"/>
    </w:rPr>
  </w:style>
  <w:style w:type="character" w:customStyle="1" w:styleId="20">
    <w:name w:val="标题 2 字符"/>
    <w:basedOn w:val="a1"/>
    <w:link w:val="2"/>
    <w:uiPriority w:val="9"/>
    <w:qFormat/>
    <w:rPr>
      <w:rFonts w:ascii="楷体_GB2312" w:eastAsia="楷体_GB2312" w:hAnsi="楷体_GB2312" w:cs="楷体_GB2312"/>
      <w:color w:val="000000"/>
      <w:sz w:val="32"/>
      <w:szCs w:val="32"/>
    </w:rPr>
  </w:style>
  <w:style w:type="paragraph" w:customStyle="1" w:styleId="24">
    <w:name w:val="修订2"/>
    <w:hidden/>
    <w:uiPriority w:val="99"/>
    <w:semiHidden/>
    <w:qFormat/>
    <w:rPr>
      <w:kern w:val="2"/>
      <w:sz w:val="21"/>
      <w:szCs w:val="24"/>
    </w:rPr>
  </w:style>
  <w:style w:type="paragraph" w:customStyle="1" w:styleId="Bodytext2">
    <w:name w:val="Body text|2"/>
    <w:basedOn w:val="a"/>
    <w:qFormat/>
    <w:pPr>
      <w:spacing w:line="590" w:lineRule="exact"/>
      <w:ind w:firstLine="580"/>
    </w:pPr>
    <w:rPr>
      <w:rFonts w:ascii="宋体" w:hAnsi="宋体" w:cs="宋体"/>
      <w:lang w:val="zh-TW" w:eastAsia="zh-TW" w:bidi="zh-TW"/>
    </w:rPr>
  </w:style>
  <w:style w:type="paragraph" w:customStyle="1" w:styleId="3">
    <w:name w:val="修订3"/>
    <w:hidden/>
    <w:uiPriority w:val="99"/>
    <w:semiHidden/>
    <w:qFormat/>
    <w:rPr>
      <w:kern w:val="2"/>
      <w:sz w:val="21"/>
      <w:szCs w:val="24"/>
    </w:rPr>
  </w:style>
  <w:style w:type="paragraph" w:customStyle="1" w:styleId="4">
    <w:name w:val="修订4"/>
    <w:hidden/>
    <w:uiPriority w:val="99"/>
    <w:semiHidden/>
    <w:rPr>
      <w:kern w:val="2"/>
      <w:sz w:val="21"/>
      <w:szCs w:val="24"/>
    </w:rPr>
  </w:style>
  <w:style w:type="paragraph" w:customStyle="1" w:styleId="5">
    <w:name w:val="修订5"/>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暖暖的秋天</dc:creator>
  <cp:lastModifiedBy>琛</cp:lastModifiedBy>
  <cp:revision>3</cp:revision>
  <cp:lastPrinted>2023-05-17T11:16:00Z</cp:lastPrinted>
  <dcterms:created xsi:type="dcterms:W3CDTF">2023-08-24T07:01:00Z</dcterms:created>
  <dcterms:modified xsi:type="dcterms:W3CDTF">2023-08-24T07:01:00Z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7C87DEEDCECA4EB297725A172D55B97D_13</vt:lpwstr>
  </property>
</Properties>
</file>